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0913D" w14:textId="77777777" w:rsidR="000842CD" w:rsidRDefault="000842CD" w:rsidP="00315FE6">
      <w:pPr>
        <w:pStyle w:val="01SeiteHeadline"/>
      </w:pPr>
      <w:bookmarkStart w:id="0" w:name="_Toc214098525"/>
      <w:bookmarkStart w:id="1" w:name="_GoBack"/>
      <w:bookmarkEnd w:id="1"/>
    </w:p>
    <w:p w14:paraId="5AD08F46" w14:textId="77777777" w:rsidR="000842CD" w:rsidRDefault="000842CD" w:rsidP="00315FE6">
      <w:pPr>
        <w:pStyle w:val="01SeiteHeadline"/>
      </w:pPr>
    </w:p>
    <w:p w14:paraId="0E156087" w14:textId="77777777" w:rsidR="005352D6" w:rsidRPr="005352D6" w:rsidRDefault="005352D6" w:rsidP="00315FE6">
      <w:pPr>
        <w:pStyle w:val="01SeiteHeadline"/>
      </w:pPr>
    </w:p>
    <w:p w14:paraId="6524C454" w14:textId="07E0A211" w:rsidR="002974C4" w:rsidRPr="00FA4D2B" w:rsidRDefault="00FA4D2B" w:rsidP="00315FE6">
      <w:pPr>
        <w:pStyle w:val="01SeiteHeadline"/>
      </w:pPr>
      <w:r>
        <w:t>Anbieterfragebogen</w:t>
      </w:r>
      <w:r>
        <w:br/>
      </w:r>
      <w:r w:rsidRPr="00FA4D2B">
        <w:t xml:space="preserve">zur umweltfreundlichen </w:t>
      </w:r>
      <w:r w:rsidR="001D5163">
        <w:t xml:space="preserve">öffentlichen </w:t>
      </w:r>
      <w:r w:rsidRPr="00FA4D2B">
        <w:t>Beschaffung von</w:t>
      </w:r>
      <w:r>
        <w:t xml:space="preserve"> </w:t>
      </w:r>
      <w:r>
        <w:br/>
      </w:r>
      <w:sdt>
        <w:sdtPr>
          <w:id w:val="-87856746"/>
          <w:placeholder>
            <w:docPart w:val="ABE75C09635A4F008965919270E1CD8E"/>
          </w:placeholder>
        </w:sdtPr>
        <w:sdtEndPr/>
        <w:sdtContent>
          <w:r w:rsidR="00950FA8">
            <w:t>e</w:t>
          </w:r>
          <w:r w:rsidR="00CE0E93" w:rsidRPr="00CE0E93">
            <w:t>missionsarme</w:t>
          </w:r>
          <w:r w:rsidR="00950FA8">
            <w:t>n</w:t>
          </w:r>
          <w:r w:rsidR="00CE0E93" w:rsidRPr="00CE0E93">
            <w:t xml:space="preserve"> Innenwandfarben</w:t>
          </w:r>
        </w:sdtContent>
      </w:sdt>
    </w:p>
    <w:p w14:paraId="4E8CA793" w14:textId="77777777" w:rsidR="005058C7" w:rsidRDefault="00FC78DC" w:rsidP="00FC78DC">
      <w:pPr>
        <w:pStyle w:val="01SeiteeingerckterText"/>
      </w:pPr>
      <w:r>
        <w:t xml:space="preserve">als Anlage zur Ausschreibung: </w:t>
      </w:r>
    </w:p>
    <w:p w14:paraId="0505A32C" w14:textId="77777777" w:rsidR="00124874" w:rsidRDefault="00124874" w:rsidP="00A52206">
      <w:pPr>
        <w:pStyle w:val="01NameInstitut"/>
      </w:pPr>
    </w:p>
    <w:p w14:paraId="4451909F" w14:textId="77777777" w:rsidR="0027585A" w:rsidRDefault="0027585A" w:rsidP="00A52206">
      <w:pPr>
        <w:pStyle w:val="01NameInstitut"/>
      </w:pPr>
    </w:p>
    <w:p w14:paraId="0826021A" w14:textId="77777777" w:rsidR="00FC78DC" w:rsidRDefault="00FC78DC" w:rsidP="00A52206">
      <w:pPr>
        <w:pStyle w:val="01NameInstitut"/>
      </w:pPr>
    </w:p>
    <w:p w14:paraId="352B46DC" w14:textId="77777777" w:rsidR="00FC78DC" w:rsidRDefault="00FC78DC" w:rsidP="00DC6B8F">
      <w:pPr>
        <w:pStyle w:val="Textkrperkursiv"/>
        <w:sectPr w:rsidR="00FC78DC" w:rsidSect="00FC78DC">
          <w:headerReference w:type="even" r:id="rId12"/>
          <w:headerReference w:type="default" r:id="rId13"/>
          <w:footerReference w:type="even" r:id="rId14"/>
          <w:footerReference w:type="default" r:id="rId15"/>
          <w:pgSz w:w="11906" w:h="16838" w:code="9"/>
          <w:pgMar w:top="1418" w:right="1134" w:bottom="1134" w:left="1134" w:header="680" w:footer="0" w:gutter="0"/>
          <w:cols w:space="708"/>
          <w:titlePg/>
          <w:docGrid w:linePitch="360"/>
        </w:sectPr>
      </w:pPr>
    </w:p>
    <w:p w14:paraId="584A2E3A" w14:textId="77777777" w:rsidR="00FA4D2B" w:rsidRDefault="002B3003" w:rsidP="002B12C5">
      <w:pPr>
        <w:pStyle w:val="berschrift1"/>
      </w:pPr>
      <w:bookmarkStart w:id="2" w:name="_Toc391560102"/>
      <w:bookmarkStart w:id="3" w:name="_Toc384755214"/>
      <w:r>
        <w:lastRenderedPageBreak/>
        <w:t>Allgemeine Angaben</w:t>
      </w:r>
    </w:p>
    <w:tbl>
      <w:tblPr>
        <w:tblStyle w:val="Tabellenraster"/>
        <w:tblW w:w="0" w:type="auto"/>
        <w:tblLook w:val="04A0" w:firstRow="1" w:lastRow="0" w:firstColumn="1" w:lastColumn="0" w:noHBand="0" w:noVBand="1"/>
      </w:tblPr>
      <w:tblGrid>
        <w:gridCol w:w="2689"/>
        <w:gridCol w:w="6939"/>
      </w:tblGrid>
      <w:tr w:rsidR="00FA4D2B" w14:paraId="3F6882F6" w14:textId="77777777" w:rsidTr="00FC78DC">
        <w:tc>
          <w:tcPr>
            <w:tcW w:w="2689" w:type="dxa"/>
            <w:shd w:val="clear" w:color="auto" w:fill="808080" w:themeFill="background1" w:themeFillShade="80"/>
            <w:vAlign w:val="center"/>
          </w:tcPr>
          <w:p w14:paraId="30DC4BC6" w14:textId="77777777" w:rsidR="00FA4D2B" w:rsidRDefault="00FA4D2B" w:rsidP="001243EF">
            <w:pPr>
              <w:pStyle w:val="TabellentextKopfzeile"/>
            </w:pPr>
            <w:r>
              <w:t>Produktname</w:t>
            </w:r>
          </w:p>
        </w:tc>
        <w:tc>
          <w:tcPr>
            <w:tcW w:w="6939" w:type="dxa"/>
            <w:vAlign w:val="center"/>
          </w:tcPr>
          <w:p w14:paraId="0E53C991" w14:textId="77777777" w:rsidR="00FA4D2B" w:rsidRPr="00A401E0" w:rsidRDefault="00FA4D2B" w:rsidP="001243EF">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22390E26" w14:textId="77777777" w:rsidTr="00FC78DC">
        <w:tc>
          <w:tcPr>
            <w:tcW w:w="2689" w:type="dxa"/>
            <w:shd w:val="clear" w:color="auto" w:fill="808080" w:themeFill="background1" w:themeFillShade="80"/>
            <w:vAlign w:val="center"/>
          </w:tcPr>
          <w:p w14:paraId="2774F58E" w14:textId="77777777" w:rsidR="00FA4D2B" w:rsidRDefault="00FA4D2B" w:rsidP="001243EF">
            <w:pPr>
              <w:pStyle w:val="TabellentextKopfzeile"/>
            </w:pPr>
            <w:r>
              <w:t>Hersteller</w:t>
            </w:r>
          </w:p>
        </w:tc>
        <w:tc>
          <w:tcPr>
            <w:tcW w:w="6939" w:type="dxa"/>
            <w:vAlign w:val="center"/>
          </w:tcPr>
          <w:p w14:paraId="4CFD086D" w14:textId="77777777" w:rsidR="00FA4D2B" w:rsidRPr="00A401E0" w:rsidRDefault="00FA4D2B" w:rsidP="001243EF">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13F357A6" w14:textId="77777777" w:rsidTr="00FC78DC">
        <w:tc>
          <w:tcPr>
            <w:tcW w:w="2689" w:type="dxa"/>
            <w:shd w:val="clear" w:color="auto" w:fill="808080" w:themeFill="background1" w:themeFillShade="80"/>
            <w:vAlign w:val="center"/>
          </w:tcPr>
          <w:p w14:paraId="01E08566" w14:textId="77777777" w:rsidR="00FA4D2B" w:rsidRDefault="00FA4D2B" w:rsidP="001243EF">
            <w:pPr>
              <w:pStyle w:val="TabellentextKopfzeile"/>
            </w:pPr>
            <w:r>
              <w:t>Bieter</w:t>
            </w:r>
          </w:p>
        </w:tc>
        <w:tc>
          <w:tcPr>
            <w:tcW w:w="6939" w:type="dxa"/>
            <w:vAlign w:val="center"/>
          </w:tcPr>
          <w:p w14:paraId="1D6A595F" w14:textId="77777777" w:rsidR="00FA4D2B" w:rsidRPr="00A401E0" w:rsidRDefault="00FA4D2B" w:rsidP="001243EF">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74053B89" w14:textId="77777777" w:rsidTr="00FC78DC">
        <w:tc>
          <w:tcPr>
            <w:tcW w:w="2689" w:type="dxa"/>
            <w:shd w:val="clear" w:color="auto" w:fill="808080" w:themeFill="background1" w:themeFillShade="80"/>
            <w:vAlign w:val="center"/>
          </w:tcPr>
          <w:p w14:paraId="79764661" w14:textId="77777777" w:rsidR="00FA4D2B" w:rsidRDefault="00FA4D2B" w:rsidP="001243EF">
            <w:pPr>
              <w:pStyle w:val="TabellentextKopfzeile"/>
            </w:pPr>
            <w:r>
              <w:t>Anschrift des Bieters</w:t>
            </w:r>
          </w:p>
        </w:tc>
        <w:tc>
          <w:tcPr>
            <w:tcW w:w="6939" w:type="dxa"/>
            <w:vAlign w:val="center"/>
          </w:tcPr>
          <w:p w14:paraId="4976F797" w14:textId="77777777" w:rsidR="00FA4D2B" w:rsidRPr="00A401E0" w:rsidRDefault="00FA4D2B" w:rsidP="001243EF">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07C9F541" w14:textId="77777777" w:rsidR="00FA4D2B" w:rsidRDefault="00BE28DD" w:rsidP="002B12C5">
      <w:pPr>
        <w:pStyle w:val="berschrift1"/>
      </w:pPr>
      <w:r>
        <w:t>Angaben zur Nachweisführung</w:t>
      </w:r>
    </w:p>
    <w:tbl>
      <w:tblPr>
        <w:tblStyle w:val="Tabellenraster"/>
        <w:tblW w:w="9628" w:type="dxa"/>
        <w:tblLook w:val="04A0" w:firstRow="1" w:lastRow="0" w:firstColumn="1" w:lastColumn="0" w:noHBand="0" w:noVBand="1"/>
      </w:tblPr>
      <w:tblGrid>
        <w:gridCol w:w="8926"/>
        <w:gridCol w:w="702"/>
      </w:tblGrid>
      <w:tr w:rsidR="00FA4D2B" w14:paraId="4730C7E4" w14:textId="77777777" w:rsidTr="00654264">
        <w:tc>
          <w:tcPr>
            <w:tcW w:w="9628" w:type="dxa"/>
            <w:gridSpan w:val="2"/>
            <w:shd w:val="clear" w:color="auto" w:fill="808080" w:themeFill="background1" w:themeFillShade="80"/>
          </w:tcPr>
          <w:p w14:paraId="69D2631A" w14:textId="77777777" w:rsidR="00FA4D2B" w:rsidRDefault="00FA4D2B" w:rsidP="001243EF">
            <w:pPr>
              <w:pStyle w:val="TabellentextKopfzeile"/>
            </w:pPr>
            <w:r w:rsidRPr="0090376D">
              <w:t>Umweltzeichen Blauer Engel vorhanden?</w:t>
            </w:r>
          </w:p>
        </w:tc>
      </w:tr>
      <w:tr w:rsidR="00FA4D2B" w14:paraId="52A03941" w14:textId="77777777" w:rsidTr="00654264">
        <w:tc>
          <w:tcPr>
            <w:tcW w:w="8926" w:type="dxa"/>
          </w:tcPr>
          <w:p w14:paraId="357161CD" w14:textId="523CB663" w:rsidR="00147E6F" w:rsidRDefault="00147E6F" w:rsidP="001243EF">
            <w:pPr>
              <w:pStyle w:val="Tabellentext"/>
            </w:pPr>
            <w:r w:rsidRPr="00147E6F">
              <w:t xml:space="preserve">Das angebotene Produkt ist mit dem Umweltzeichen Blauer Engel für </w:t>
            </w:r>
            <w:sdt>
              <w:sdtPr>
                <w:id w:val="-1666619642"/>
                <w:placeholder>
                  <w:docPart w:val="92F1DFF99B904949BDFB17EEA685D48F"/>
                </w:placeholder>
              </w:sdtPr>
              <w:sdtEndPr/>
              <w:sdtContent>
                <w:r w:rsidR="00950FA8">
                  <w:t>e</w:t>
                </w:r>
                <w:r w:rsidR="00CE0E93" w:rsidRPr="00CE0E93">
                  <w:t>missionsarme Innenwandfarben</w:t>
                </w:r>
              </w:sdtContent>
            </w:sdt>
            <w:r w:rsidRPr="00147E6F">
              <w:t xml:space="preserve"> </w:t>
            </w:r>
            <w:r w:rsidRPr="00CE0E93">
              <w:t xml:space="preserve">(DE-UZ </w:t>
            </w:r>
            <w:sdt>
              <w:sdtPr>
                <w:id w:val="-1584991256"/>
                <w:placeholder>
                  <w:docPart w:val="92F1DFF99B904949BDFB17EEA685D48F"/>
                </w:placeholder>
              </w:sdtPr>
              <w:sdtEndPr/>
              <w:sdtContent>
                <w:r w:rsidR="00CE0E93" w:rsidRPr="00CE0E93">
                  <w:t>102</w:t>
                </w:r>
              </w:sdtContent>
            </w:sdt>
            <w:r w:rsidRPr="00CE0E93">
              <w:t>, Ausgabe</w:t>
            </w:r>
            <w:r w:rsidRPr="00147E6F">
              <w:t xml:space="preserve"> </w:t>
            </w:r>
            <w:sdt>
              <w:sdtPr>
                <w:id w:val="1903938905"/>
                <w:placeholder>
                  <w:docPart w:val="92F1DFF99B904949BDFB17EEA685D48F"/>
                </w:placeholder>
              </w:sdtPr>
              <w:sdtEndPr/>
              <w:sdtContent>
                <w:r w:rsidR="00CE0E93">
                  <w:t>Januar 2019</w:t>
                </w:r>
              </w:sdtContent>
            </w:sdt>
            <w:r w:rsidRPr="00147E6F">
              <w:t>) zertifiziert.</w:t>
            </w:r>
          </w:p>
          <w:p w14:paraId="59C1C57F" w14:textId="0430EDBC" w:rsidR="00147E6F" w:rsidRDefault="00147E6F" w:rsidP="001243EF">
            <w:pPr>
              <w:pStyle w:val="Tabellentext"/>
            </w:pPr>
            <w:r w:rsidRPr="00147E6F">
              <w:t>Die in der Tabelle des folgenden Abschnitts „Anforderungen“ genannten Kriterien sind damit erfüllt, weshalb die Vorlage von Dokumenten (Anlagen) zum Nachweis der Einhaltung nicht erforderlich ist.</w:t>
            </w:r>
          </w:p>
          <w:p w14:paraId="641D05E2" w14:textId="77777777" w:rsidR="00CE0E93" w:rsidRDefault="00CE0E93" w:rsidP="001243EF">
            <w:pPr>
              <w:pStyle w:val="Tabellentext"/>
            </w:pPr>
          </w:p>
          <w:p w14:paraId="6FCFBDBF" w14:textId="77777777" w:rsidR="00840191" w:rsidRDefault="00147E6F" w:rsidP="001243EF">
            <w:pPr>
              <w:pStyle w:val="Tabellentext"/>
            </w:pPr>
            <w:r w:rsidRPr="00147E6F">
              <w:t xml:space="preserve">Zeichenbenutzungsvertrag Nr.: </w:t>
            </w:r>
            <w:r w:rsidRPr="00147E6F">
              <w:fldChar w:fldCharType="begin">
                <w:ffData>
                  <w:name w:val="Text12"/>
                  <w:enabled/>
                  <w:calcOnExit w:val="0"/>
                  <w:textInput/>
                </w:ffData>
              </w:fldChar>
            </w:r>
            <w:r w:rsidRPr="00147E6F">
              <w:instrText xml:space="preserve"> FORMTEXT </w:instrText>
            </w:r>
            <w:r w:rsidRPr="00147E6F">
              <w:fldChar w:fldCharType="separate"/>
            </w:r>
            <w:r w:rsidRPr="00147E6F">
              <w:t> </w:t>
            </w:r>
            <w:r w:rsidRPr="00147E6F">
              <w:t> </w:t>
            </w:r>
            <w:r w:rsidRPr="00147E6F">
              <w:t> </w:t>
            </w:r>
            <w:r w:rsidRPr="00147E6F">
              <w:t> </w:t>
            </w:r>
            <w:r w:rsidRPr="00147E6F">
              <w:t> </w:t>
            </w:r>
            <w:r w:rsidRPr="00147E6F">
              <w:fldChar w:fldCharType="end"/>
            </w:r>
            <w:r w:rsidRPr="00147E6F">
              <w:t xml:space="preserve"> </w:t>
            </w:r>
          </w:p>
        </w:tc>
        <w:tc>
          <w:tcPr>
            <w:tcW w:w="702" w:type="dxa"/>
            <w:vAlign w:val="center"/>
          </w:tcPr>
          <w:p w14:paraId="0FAF496B" w14:textId="77777777" w:rsidR="00FA4D2B" w:rsidRDefault="00FA4D2B" w:rsidP="001243EF">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CD7AAF">
              <w:rPr>
                <w:rFonts w:eastAsia="Calibri"/>
              </w:rPr>
            </w:r>
            <w:r w:rsidR="00CD7AAF">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67C152F8" w14:textId="77777777" w:rsidR="00FA4D2B" w:rsidRDefault="00FA4D2B" w:rsidP="00AD6F4C">
      <w:pPr>
        <w:pStyle w:val="Textkrper"/>
        <w:spacing w:before="40" w:after="40"/>
      </w:pPr>
    </w:p>
    <w:tbl>
      <w:tblPr>
        <w:tblStyle w:val="Tabellenraster"/>
        <w:tblW w:w="9628" w:type="dxa"/>
        <w:tblLook w:val="04A0" w:firstRow="1" w:lastRow="0" w:firstColumn="1" w:lastColumn="0" w:noHBand="0" w:noVBand="1"/>
      </w:tblPr>
      <w:tblGrid>
        <w:gridCol w:w="8926"/>
        <w:gridCol w:w="702"/>
      </w:tblGrid>
      <w:tr w:rsidR="00FA4D2B" w14:paraId="4A853470" w14:textId="77777777" w:rsidTr="00654264">
        <w:tc>
          <w:tcPr>
            <w:tcW w:w="9628" w:type="dxa"/>
            <w:gridSpan w:val="2"/>
            <w:shd w:val="clear" w:color="auto" w:fill="808080" w:themeFill="background1" w:themeFillShade="80"/>
          </w:tcPr>
          <w:p w14:paraId="7E98E48F" w14:textId="77777777" w:rsidR="00FA4D2B" w:rsidRDefault="001906D1" w:rsidP="001243EF">
            <w:pPr>
              <w:pStyle w:val="TabellentextKopfzeile"/>
            </w:pPr>
            <w:r>
              <w:t>Gleichwertiges</w:t>
            </w:r>
            <w:r w:rsidR="00FA4D2B" w:rsidRPr="00070FDF">
              <w:t xml:space="preserve"> Gütezeichen vorhanden?</w:t>
            </w:r>
          </w:p>
        </w:tc>
      </w:tr>
      <w:tr w:rsidR="00FA4D2B" w14:paraId="014B63A7" w14:textId="77777777" w:rsidTr="00654264">
        <w:tc>
          <w:tcPr>
            <w:tcW w:w="8926" w:type="dxa"/>
          </w:tcPr>
          <w:p w14:paraId="73399B81" w14:textId="77777777" w:rsidR="00147E6F" w:rsidRDefault="00147E6F" w:rsidP="001243EF">
            <w:pPr>
              <w:pStyle w:val="Tabellentext"/>
            </w:pPr>
            <w:r>
              <w:t xml:space="preserve">Das angebotene Produkt ist mit einem </w:t>
            </w:r>
            <w:r w:rsidR="001906D1">
              <w:t>gleichwertigen</w:t>
            </w:r>
            <w:r>
              <w:t xml:space="preserve"> Gütezeichen gekennzeichnet. </w:t>
            </w:r>
          </w:p>
          <w:p w14:paraId="040F9682" w14:textId="77777777" w:rsidR="00147E6F" w:rsidRDefault="00147E6F" w:rsidP="001243EF">
            <w:pPr>
              <w:pStyle w:val="Tabellentext"/>
            </w:pPr>
            <w:r>
              <w:t xml:space="preserve">Bezeichnung des Gütezeichens und </w:t>
            </w:r>
            <w:r w:rsidRPr="00510516">
              <w:t>Zeichenbenutzungsvertrag</w:t>
            </w:r>
            <w:r>
              <w:t>s-</w:t>
            </w:r>
            <w:r w:rsidRPr="00510516">
              <w:t>Nr.:</w:t>
            </w:r>
            <w:r>
              <w:t xml:space="preserve"> </w:t>
            </w: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p w14:paraId="650DA967" w14:textId="77777777" w:rsidR="00161A1E" w:rsidRDefault="00161A1E" w:rsidP="001243EF">
            <w:pPr>
              <w:pStyle w:val="Tabellentext"/>
            </w:pPr>
          </w:p>
          <w:p w14:paraId="5828CCC0" w14:textId="38743979" w:rsidR="00147E6F" w:rsidRDefault="00147E6F" w:rsidP="001243EF">
            <w:pPr>
              <w:pStyle w:val="Tabellentext"/>
            </w:pPr>
            <w:r>
              <w:t>In d</w:t>
            </w:r>
            <w:r w:rsidRPr="006816B7">
              <w:t xml:space="preserve">er Tabelle des folgenden Abschnitts „Anforderungen“ </w:t>
            </w:r>
            <w:r>
              <w:t>bestätigt der Bieter durch Ankreuzen in der rechten Tabellenspalte</w:t>
            </w:r>
            <w:r w:rsidR="00CE0E93">
              <w:rPr>
                <w:rStyle w:val="Kommentarzeichen"/>
                <w:rFonts w:ascii="Arial" w:hAnsi="Arial"/>
              </w:rPr>
              <w:t>,</w:t>
            </w:r>
            <w:r>
              <w:t xml:space="preserve"> dass das vorgelegte Gütezeichen die Erfüllung der hier genannten Ausschlussk</w:t>
            </w:r>
            <w:r w:rsidRPr="006816B7">
              <w:t xml:space="preserve">riterien </w:t>
            </w:r>
            <w:r>
              <w:t>fordert. D</w:t>
            </w:r>
            <w:r w:rsidRPr="006816B7">
              <w:t xml:space="preserve">ie Vorlage </w:t>
            </w:r>
            <w:r>
              <w:t>der in der Spalte „Anmerkung“ genannten Nachweise ist nicht erforderlich</w:t>
            </w:r>
            <w:r w:rsidRPr="006816B7">
              <w:t>.</w:t>
            </w:r>
          </w:p>
          <w:p w14:paraId="3043D704" w14:textId="77777777" w:rsidR="00161A1E" w:rsidRDefault="00161A1E" w:rsidP="001243EF">
            <w:pPr>
              <w:pStyle w:val="Tabellentext"/>
            </w:pPr>
          </w:p>
          <w:p w14:paraId="23A92B8F" w14:textId="357A8580" w:rsidR="008307D1" w:rsidRDefault="00161A1E" w:rsidP="001243EF">
            <w:pPr>
              <w:pStyle w:val="Tabellentext"/>
            </w:pPr>
            <w:r w:rsidRPr="00161A1E">
              <w:t>Falls das vorgelegte Gütezeichen einzelne Ausschlusskriterien des Absch</w:t>
            </w:r>
            <w:r>
              <w:t>nitts „Anforderungen“ nicht ent</w:t>
            </w:r>
            <w:r w:rsidRPr="00161A1E">
              <w:t>hält, erfolgt die Bestätigung über die Einhaltung der Kriterien durch Ankreu</w:t>
            </w:r>
            <w:r>
              <w:t>zen in der rechten Tabellenspal</w:t>
            </w:r>
            <w:r w:rsidRPr="00161A1E">
              <w:t xml:space="preserve">te im Abschnitt „Anforderungen“ </w:t>
            </w:r>
            <w:r w:rsidRPr="00161A1E">
              <w:rPr>
                <w:u w:val="single"/>
              </w:rPr>
              <w:t>sowie</w:t>
            </w:r>
            <w:r w:rsidRPr="00161A1E">
              <w:t xml:space="preserve"> Vorlage der erforderlichen Nachweise (Spalte „Anmerkungen“) mit dem Angebot.</w:t>
            </w:r>
          </w:p>
        </w:tc>
        <w:tc>
          <w:tcPr>
            <w:tcW w:w="702" w:type="dxa"/>
            <w:vAlign w:val="center"/>
          </w:tcPr>
          <w:p w14:paraId="2BF8C286" w14:textId="77777777" w:rsidR="00FA4D2B" w:rsidRDefault="00FA4D2B" w:rsidP="001243EF">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CD7AAF">
              <w:rPr>
                <w:rFonts w:eastAsia="Calibri"/>
              </w:rPr>
            </w:r>
            <w:r w:rsidR="00CD7AAF">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443AB065" w14:textId="77777777" w:rsidR="00FA4D2B" w:rsidRPr="00DC6B8F" w:rsidRDefault="00FA4D2B" w:rsidP="00DC6B8F">
      <w:pPr>
        <w:pStyle w:val="Textkrper"/>
      </w:pPr>
    </w:p>
    <w:tbl>
      <w:tblPr>
        <w:tblStyle w:val="Tabellenraster"/>
        <w:tblW w:w="9628" w:type="dxa"/>
        <w:tblLook w:val="04A0" w:firstRow="1" w:lastRow="0" w:firstColumn="1" w:lastColumn="0" w:noHBand="0" w:noVBand="1"/>
      </w:tblPr>
      <w:tblGrid>
        <w:gridCol w:w="8926"/>
        <w:gridCol w:w="702"/>
      </w:tblGrid>
      <w:tr w:rsidR="00FA4D2B" w14:paraId="518CDC7B" w14:textId="77777777" w:rsidTr="00654264">
        <w:tc>
          <w:tcPr>
            <w:tcW w:w="9628" w:type="dxa"/>
            <w:gridSpan w:val="2"/>
            <w:shd w:val="clear" w:color="auto" w:fill="808080" w:themeFill="background1" w:themeFillShade="80"/>
          </w:tcPr>
          <w:p w14:paraId="1A8DEB69" w14:textId="77777777" w:rsidR="00FA4D2B" w:rsidRDefault="00FA4D2B" w:rsidP="001243EF">
            <w:pPr>
              <w:pStyle w:val="TabellentextKopfzeile"/>
            </w:pPr>
            <w:r w:rsidRPr="00070FDF">
              <w:t>Kein Gütezeichen vorhanden?</w:t>
            </w:r>
          </w:p>
        </w:tc>
      </w:tr>
      <w:tr w:rsidR="00FA4D2B" w14:paraId="090E425A" w14:textId="77777777" w:rsidTr="00654264">
        <w:tc>
          <w:tcPr>
            <w:tcW w:w="8926" w:type="dxa"/>
          </w:tcPr>
          <w:p w14:paraId="23F34383" w14:textId="7E2DD332" w:rsidR="00161A1E" w:rsidRDefault="00147E6F" w:rsidP="001243EF">
            <w:pPr>
              <w:pStyle w:val="Tabellentext"/>
            </w:pPr>
            <w:r>
              <w:t>Das</w:t>
            </w:r>
            <w:r w:rsidRPr="00070FDF">
              <w:t xml:space="preserve"> angebotene Produkt </w:t>
            </w:r>
            <w:r>
              <w:t xml:space="preserve">ist </w:t>
            </w:r>
            <w:r w:rsidRPr="00070FDF">
              <w:t>weder mit dem</w:t>
            </w:r>
            <w:r>
              <w:t xml:space="preserve"> </w:t>
            </w:r>
            <w:r w:rsidRPr="0090376D">
              <w:t xml:space="preserve">Umweltzeichen </w:t>
            </w:r>
            <w:r w:rsidRPr="00142B78">
              <w:t xml:space="preserve">Blauer Engel für </w:t>
            </w:r>
            <w:r w:rsidR="00950FA8">
              <w:t>e</w:t>
            </w:r>
            <w:r w:rsidR="001E1C48" w:rsidRPr="001E1C48">
              <w:t>missionsarme Innenwandfarben</w:t>
            </w:r>
            <w:r w:rsidRPr="00142B78">
              <w:t xml:space="preserve"> (</w:t>
            </w:r>
            <w:r>
              <w:t>DE</w:t>
            </w:r>
            <w:r w:rsidRPr="00142B78">
              <w:t xml:space="preserve">-UZ </w:t>
            </w:r>
            <w:sdt>
              <w:sdtPr>
                <w:id w:val="156664141"/>
                <w:placeholder>
                  <w:docPart w:val="A87C4E1BFB504BFC8FF64159D1F2ED59"/>
                </w:placeholder>
              </w:sdtPr>
              <w:sdtEndPr/>
              <w:sdtContent>
                <w:r w:rsidR="001E1C48">
                  <w:t>102</w:t>
                </w:r>
              </w:sdtContent>
            </w:sdt>
            <w:r w:rsidRPr="00142B78">
              <w:t xml:space="preserve">, Ausgabe </w:t>
            </w:r>
            <w:sdt>
              <w:sdtPr>
                <w:id w:val="-1257909660"/>
                <w:placeholder>
                  <w:docPart w:val="A87C4E1BFB504BFC8FF64159D1F2ED59"/>
                </w:placeholder>
              </w:sdtPr>
              <w:sdtEndPr/>
              <w:sdtContent>
                <w:r w:rsidR="001E1C48" w:rsidRPr="001E1C48">
                  <w:t>Januar 2019</w:t>
                </w:r>
              </w:sdtContent>
            </w:sdt>
            <w:r w:rsidRPr="00142B78">
              <w:t>)</w:t>
            </w:r>
            <w:r w:rsidRPr="00070FDF">
              <w:t xml:space="preserve"> noch mit einem </w:t>
            </w:r>
            <w:r w:rsidR="001906D1">
              <w:t>gleichwertigen</w:t>
            </w:r>
            <w:r w:rsidRPr="00070FDF">
              <w:t xml:space="preserve"> Gütezeichen gekennzeichnet</w:t>
            </w:r>
            <w:r>
              <w:t>.</w:t>
            </w:r>
          </w:p>
          <w:p w14:paraId="78BF8959" w14:textId="77777777" w:rsidR="001E1C48" w:rsidRDefault="001E1C48" w:rsidP="001243EF">
            <w:pPr>
              <w:pStyle w:val="Tabellentext"/>
            </w:pPr>
          </w:p>
          <w:p w14:paraId="31069AC6" w14:textId="26B19B60" w:rsidR="000B1053" w:rsidRDefault="00147E6F" w:rsidP="001243EF">
            <w:pPr>
              <w:pStyle w:val="Tabellentext"/>
            </w:pPr>
            <w:r>
              <w:t>In der Tabelle des folgenden Abschnitts „Anforderungen</w:t>
            </w:r>
            <w:r w:rsidRPr="00FA4151">
              <w:t xml:space="preserve">“ wird durch Ankreuzen in der rechten Tabellenspalte bestätigt, dass das Produkt die genannten </w:t>
            </w:r>
            <w:r>
              <w:t>Ausschlussk</w:t>
            </w:r>
            <w:r w:rsidRPr="00FA4151">
              <w:t xml:space="preserve">riterien erfüllt. Die </w:t>
            </w:r>
            <w:r>
              <w:t xml:space="preserve">in der Spalte „Anmerkung“ </w:t>
            </w:r>
            <w:r w:rsidRPr="00FA4151">
              <w:t>ge</w:t>
            </w:r>
            <w:r>
              <w:t>nannten</w:t>
            </w:r>
            <w:r w:rsidRPr="00FA4151">
              <w:t xml:space="preserve"> Nachweise liegen dem Angebot bei. </w:t>
            </w:r>
          </w:p>
        </w:tc>
        <w:tc>
          <w:tcPr>
            <w:tcW w:w="702" w:type="dxa"/>
            <w:vAlign w:val="center"/>
          </w:tcPr>
          <w:p w14:paraId="656C5BE5" w14:textId="77777777" w:rsidR="00FA4D2B" w:rsidRDefault="00FA4D2B" w:rsidP="001243EF">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CD7AAF">
              <w:rPr>
                <w:rFonts w:eastAsia="Calibri"/>
              </w:rPr>
            </w:r>
            <w:r w:rsidR="00CD7AAF">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0314283A" w14:textId="77777777" w:rsidR="00FA4D2B" w:rsidRDefault="0071078D" w:rsidP="002B12C5">
      <w:pPr>
        <w:pStyle w:val="berschrift1"/>
      </w:pPr>
      <w:r>
        <w:lastRenderedPageBreak/>
        <w:t>A</w:t>
      </w:r>
      <w:r w:rsidR="002B3003">
        <w:t>n</w:t>
      </w:r>
      <w:r>
        <w:t>forderungen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3465DA" w:rsidRPr="004C4B67" w14:paraId="3FF5809B" w14:textId="77777777" w:rsidTr="001E1C48">
        <w:trPr>
          <w:trHeight w:val="152"/>
          <w:tblHeader/>
        </w:trPr>
        <w:tc>
          <w:tcPr>
            <w:tcW w:w="5409" w:type="dxa"/>
            <w:shd w:val="clear" w:color="auto" w:fill="929295" w:themeFill="text1" w:themeFillTint="99"/>
            <w:vAlign w:val="center"/>
          </w:tcPr>
          <w:p w14:paraId="3757EF05" w14:textId="77777777" w:rsidR="003465DA" w:rsidRPr="00994FEC" w:rsidRDefault="003465DA" w:rsidP="001243EF">
            <w:pPr>
              <w:pStyle w:val="TabellentextKopfzeile"/>
            </w:pPr>
            <w:r w:rsidRPr="00994FEC">
              <w:t>Kriterium</w:t>
            </w:r>
          </w:p>
        </w:tc>
        <w:tc>
          <w:tcPr>
            <w:tcW w:w="2538" w:type="dxa"/>
            <w:shd w:val="clear" w:color="auto" w:fill="929295" w:themeFill="text1" w:themeFillTint="99"/>
            <w:vAlign w:val="center"/>
          </w:tcPr>
          <w:p w14:paraId="43796444" w14:textId="77777777" w:rsidR="003465DA" w:rsidRPr="00994FEC" w:rsidRDefault="003465DA" w:rsidP="001243EF">
            <w:pPr>
              <w:pStyle w:val="TabellentextKopfzeile"/>
            </w:pPr>
            <w:r w:rsidRPr="00994FEC">
              <w:t>Anmerkung</w:t>
            </w:r>
          </w:p>
        </w:tc>
        <w:tc>
          <w:tcPr>
            <w:tcW w:w="1692" w:type="dxa"/>
            <w:shd w:val="clear" w:color="auto" w:fill="929295" w:themeFill="text1" w:themeFillTint="99"/>
            <w:vAlign w:val="center"/>
          </w:tcPr>
          <w:p w14:paraId="23086031" w14:textId="77777777" w:rsidR="003465DA" w:rsidRPr="00994FEC" w:rsidRDefault="003465DA" w:rsidP="001243EF">
            <w:pPr>
              <w:pStyle w:val="TabellentextKopfzeile"/>
            </w:pPr>
            <w:r w:rsidRPr="00994FEC">
              <w:t xml:space="preserve">Kriterium erfüllt und </w:t>
            </w:r>
            <w:r>
              <w:t>Nachweis</w:t>
            </w:r>
            <w:r>
              <w:br/>
            </w:r>
            <w:r w:rsidRPr="00994FEC">
              <w:t>erbracht</w:t>
            </w:r>
            <w:r>
              <w:rPr>
                <w:rStyle w:val="Funotenzeichen"/>
              </w:rPr>
              <w:footnoteReference w:id="1"/>
            </w:r>
          </w:p>
          <w:p w14:paraId="135F0953" w14:textId="77777777" w:rsidR="003465DA" w:rsidRPr="00994FEC" w:rsidRDefault="003465DA" w:rsidP="001243EF">
            <w:pPr>
              <w:pStyle w:val="TabellentextKopfzeile"/>
            </w:pPr>
            <w:r>
              <w:t>(vom Bieter</w:t>
            </w:r>
            <w:r>
              <w:br/>
            </w:r>
            <w:r w:rsidRPr="00994FEC">
              <w:t>auszufüllen)</w:t>
            </w:r>
          </w:p>
        </w:tc>
      </w:tr>
      <w:tr w:rsidR="003465DA" w:rsidRPr="004C4B67" w14:paraId="5A74B737" w14:textId="77777777" w:rsidTr="001E1C48">
        <w:trPr>
          <w:trHeight w:val="185"/>
          <w:tblHeader/>
        </w:trPr>
        <w:tc>
          <w:tcPr>
            <w:tcW w:w="5409" w:type="dxa"/>
            <w:shd w:val="clear" w:color="auto" w:fill="D9D9D9"/>
            <w:vAlign w:val="center"/>
          </w:tcPr>
          <w:p w14:paraId="485390C7" w14:textId="196FD9B8" w:rsidR="003465DA" w:rsidRPr="00994FEC" w:rsidRDefault="001E1C48" w:rsidP="001243EF">
            <w:pPr>
              <w:pStyle w:val="Tabellentext"/>
            </w:pPr>
            <w:r w:rsidRPr="001E1C48">
              <w:t>1</w:t>
            </w:r>
            <w:r w:rsidRPr="001E1C48">
              <w:tab/>
              <w:t>Allgemeine stoffliche Anforderungen</w:t>
            </w:r>
          </w:p>
        </w:tc>
        <w:tc>
          <w:tcPr>
            <w:tcW w:w="2538" w:type="dxa"/>
            <w:shd w:val="clear" w:color="auto" w:fill="D9D9D9"/>
            <w:vAlign w:val="center"/>
          </w:tcPr>
          <w:p w14:paraId="48E5ED4C" w14:textId="77777777" w:rsidR="003465DA" w:rsidRPr="00994FEC" w:rsidRDefault="003465DA" w:rsidP="001243EF">
            <w:pPr>
              <w:pStyle w:val="Tabellentext"/>
            </w:pPr>
          </w:p>
        </w:tc>
        <w:tc>
          <w:tcPr>
            <w:tcW w:w="1692" w:type="dxa"/>
            <w:shd w:val="clear" w:color="auto" w:fill="D9D9D9"/>
            <w:vAlign w:val="center"/>
          </w:tcPr>
          <w:p w14:paraId="37CD4FA1" w14:textId="77777777" w:rsidR="003465DA" w:rsidRPr="00994FEC" w:rsidRDefault="003465DA" w:rsidP="001243EF">
            <w:pPr>
              <w:pStyle w:val="Tabellentext"/>
            </w:pPr>
          </w:p>
        </w:tc>
      </w:tr>
      <w:tr w:rsidR="003465DA" w:rsidRPr="004C4B67" w14:paraId="427C9B6C" w14:textId="77777777" w:rsidTr="001E1C48">
        <w:trPr>
          <w:trHeight w:val="284"/>
          <w:tblHeader/>
        </w:trPr>
        <w:tc>
          <w:tcPr>
            <w:tcW w:w="5409" w:type="dxa"/>
            <w:shd w:val="clear" w:color="auto" w:fill="auto"/>
          </w:tcPr>
          <w:p w14:paraId="1FC523F6" w14:textId="75E9AADE" w:rsidR="001E1C48" w:rsidRDefault="001E1C48" w:rsidP="001243EF">
            <w:pPr>
              <w:pStyle w:val="Tabellentext"/>
            </w:pPr>
            <w:r>
              <w:t xml:space="preserve">Die Einhaltung des europäischen und deutschen Chemikalienrechts sowie der branchenbezogenen Regelwerke wird vorausgesetzt (insbesondere REACH-VO Anhang XVII, POP-VO Anhang I, CLP-VO, ChemVerbotsV, FCKW- und F-Gase-RL, </w:t>
            </w:r>
            <w:proofErr w:type="spellStart"/>
            <w:r>
              <w:t>Decopaint</w:t>
            </w:r>
            <w:proofErr w:type="spellEnd"/>
            <w:r>
              <w:t xml:space="preserve">-RL, GefStoffV, VDL-RL 01, RL 92/112/EWG, 25. BImSchV, </w:t>
            </w:r>
            <w:proofErr w:type="spellStart"/>
            <w:r>
              <w:t>Biozidprodukte</w:t>
            </w:r>
            <w:proofErr w:type="spellEnd"/>
            <w:r>
              <w:t xml:space="preserve">-Verordnung (BPV), </w:t>
            </w:r>
            <w:proofErr w:type="spellStart"/>
            <w:r>
              <w:t>VerpackG</w:t>
            </w:r>
            <w:proofErr w:type="spellEnd"/>
            <w:r>
              <w:t>)</w:t>
            </w:r>
            <w:r w:rsidR="00704810">
              <w:rPr>
                <w:rStyle w:val="Funotenzeichen"/>
              </w:rPr>
              <w:footnoteReference w:id="2"/>
            </w:r>
            <w:r>
              <w:t>.</w:t>
            </w:r>
          </w:p>
          <w:p w14:paraId="69015421" w14:textId="0BF44331" w:rsidR="001E1C48" w:rsidRDefault="001E1C48" w:rsidP="001243EF">
            <w:pPr>
              <w:pStyle w:val="Tabellentext"/>
            </w:pPr>
            <w:r>
              <w:t>Die gebrauchsfertigen Produkte (Wandfarben) dürfen keine Stoffe mit folgenden Eigenschaften als konstitutionelle B</w:t>
            </w:r>
            <w:r w:rsidR="00083CD6">
              <w:t>e</w:t>
            </w:r>
            <w:r>
              <w:t>standteile enthalten:</w:t>
            </w:r>
          </w:p>
          <w:p w14:paraId="730565EE" w14:textId="483F9149" w:rsidR="001E1C48" w:rsidRPr="00315FE6" w:rsidRDefault="001E1C48" w:rsidP="00315FE6">
            <w:pPr>
              <w:pStyle w:val="Aufzhlunga"/>
            </w:pPr>
            <w:r w:rsidRPr="00315FE6">
              <w:t>Stoffe, die unter der Chemikalienverordnung REACH (EG/1906/2006) als besonders besorgniserregend identifiziert und in die gemäß REACH Artikel 59 Absatz 1 erstellte Liste (sogenannte „SVHC-Kandidatenliste“) aufgenommen wurden.</w:t>
            </w:r>
            <w:r w:rsidR="004574A0">
              <w:rPr>
                <w:rStyle w:val="Funotenzeichen"/>
              </w:rPr>
              <w:footnoteReference w:id="3"/>
            </w:r>
          </w:p>
          <w:p w14:paraId="3124438A" w14:textId="3706BE87" w:rsidR="001E1C48" w:rsidRPr="00315FE6" w:rsidRDefault="001E1C48" w:rsidP="00315FE6">
            <w:pPr>
              <w:pStyle w:val="Aufzhlunga"/>
            </w:pPr>
            <w:r w:rsidRPr="00315FE6">
              <w:t>Stoffe, die gemäß der CLP-Verordnung (EG) Nr.: 1272/2008 in die folgenden Gefahrenkategorien eingestuft sind oder die Kriterien für eine solche Einstufung erfüllen:</w:t>
            </w:r>
          </w:p>
          <w:p w14:paraId="573FC425" w14:textId="65D80195" w:rsidR="001E1C48" w:rsidRDefault="001E1C48" w:rsidP="00083CD6">
            <w:pPr>
              <w:pStyle w:val="Aufzhlung"/>
            </w:pPr>
            <w:r>
              <w:t xml:space="preserve">akuttoxisch (giftig) der Kategorie </w:t>
            </w:r>
            <w:proofErr w:type="spellStart"/>
            <w:r>
              <w:t>Acute</w:t>
            </w:r>
            <w:proofErr w:type="spellEnd"/>
            <w:r>
              <w:t xml:space="preserve"> </w:t>
            </w:r>
            <w:proofErr w:type="spellStart"/>
            <w:r>
              <w:t>Tox</w:t>
            </w:r>
            <w:proofErr w:type="spellEnd"/>
            <w:r>
              <w:t xml:space="preserve">. 1, </w:t>
            </w:r>
            <w:proofErr w:type="spellStart"/>
            <w:r>
              <w:t>Acute</w:t>
            </w:r>
            <w:proofErr w:type="spellEnd"/>
            <w:r>
              <w:t xml:space="preserve"> </w:t>
            </w:r>
            <w:proofErr w:type="spellStart"/>
            <w:r>
              <w:t>Tox</w:t>
            </w:r>
            <w:proofErr w:type="spellEnd"/>
            <w:r>
              <w:t xml:space="preserve">. 2 oder </w:t>
            </w:r>
            <w:proofErr w:type="spellStart"/>
            <w:r>
              <w:t>Acute</w:t>
            </w:r>
            <w:proofErr w:type="spellEnd"/>
            <w:r>
              <w:t xml:space="preserve"> </w:t>
            </w:r>
            <w:proofErr w:type="spellStart"/>
            <w:r>
              <w:t>Tox</w:t>
            </w:r>
            <w:proofErr w:type="spellEnd"/>
            <w:r>
              <w:t>. 3</w:t>
            </w:r>
          </w:p>
          <w:p w14:paraId="4454B66D" w14:textId="6235ED23" w:rsidR="001E1C48" w:rsidRDefault="001E1C48" w:rsidP="00083CD6">
            <w:pPr>
              <w:pStyle w:val="Aufzhlung"/>
            </w:pPr>
            <w:r>
              <w:t>toxisch für spezifischen Zielorgane der Kategorie STOT SE 1, STOT SE 2 oder STOT RE 1, STOT RE 2</w:t>
            </w:r>
          </w:p>
          <w:p w14:paraId="00E75E86" w14:textId="63047EAF" w:rsidR="001E1C48" w:rsidRDefault="001E1C48" w:rsidP="00083CD6">
            <w:pPr>
              <w:pStyle w:val="Aufzhlung"/>
            </w:pPr>
            <w:r>
              <w:t xml:space="preserve">karzinogen (krebserzeugend) der Kategorie </w:t>
            </w:r>
            <w:proofErr w:type="spellStart"/>
            <w:r>
              <w:t>Carc</w:t>
            </w:r>
            <w:proofErr w:type="spellEnd"/>
            <w:r>
              <w:t xml:space="preserve">. 1A, </w:t>
            </w:r>
            <w:proofErr w:type="spellStart"/>
            <w:r>
              <w:t>Carc</w:t>
            </w:r>
            <w:proofErr w:type="spellEnd"/>
            <w:r>
              <w:t xml:space="preserve">. 1B oder </w:t>
            </w:r>
            <w:proofErr w:type="spellStart"/>
            <w:r>
              <w:t>Carc</w:t>
            </w:r>
            <w:proofErr w:type="spellEnd"/>
            <w:r>
              <w:t>. 2</w:t>
            </w:r>
          </w:p>
          <w:p w14:paraId="4721F5DF" w14:textId="575A016B" w:rsidR="001E1C48" w:rsidRDefault="001E1C48" w:rsidP="00083CD6">
            <w:pPr>
              <w:pStyle w:val="Aufzhlung"/>
            </w:pPr>
            <w:proofErr w:type="spellStart"/>
            <w:r>
              <w:t>keimzellmutagen</w:t>
            </w:r>
            <w:proofErr w:type="spellEnd"/>
            <w:r>
              <w:t xml:space="preserve"> (erbgutverändernd) der Kategorie </w:t>
            </w:r>
            <w:proofErr w:type="spellStart"/>
            <w:r>
              <w:t>Muta</w:t>
            </w:r>
            <w:proofErr w:type="spellEnd"/>
            <w:r>
              <w:t xml:space="preserve">. 1A, </w:t>
            </w:r>
            <w:proofErr w:type="spellStart"/>
            <w:r>
              <w:t>Muta</w:t>
            </w:r>
            <w:proofErr w:type="spellEnd"/>
            <w:r>
              <w:t xml:space="preserve">. 1B oder </w:t>
            </w:r>
            <w:proofErr w:type="spellStart"/>
            <w:r>
              <w:t>Muta</w:t>
            </w:r>
            <w:proofErr w:type="spellEnd"/>
            <w:r>
              <w:t>. 2</w:t>
            </w:r>
          </w:p>
          <w:p w14:paraId="7CE258E1" w14:textId="08B916D7" w:rsidR="001E1C48" w:rsidRDefault="001E1C48" w:rsidP="00083CD6">
            <w:pPr>
              <w:pStyle w:val="Aufzhlung"/>
            </w:pPr>
            <w:r>
              <w:t xml:space="preserve">reproduktionstoxisch (fortpflanzungsgefährdend) der Kategorie </w:t>
            </w:r>
            <w:proofErr w:type="spellStart"/>
            <w:r>
              <w:t>Repr</w:t>
            </w:r>
            <w:proofErr w:type="spellEnd"/>
            <w:r>
              <w:t xml:space="preserve">. 1A, </w:t>
            </w:r>
            <w:proofErr w:type="spellStart"/>
            <w:r>
              <w:t>Repr</w:t>
            </w:r>
            <w:proofErr w:type="spellEnd"/>
            <w:r>
              <w:t xml:space="preserve">. 1B oder </w:t>
            </w:r>
            <w:proofErr w:type="spellStart"/>
            <w:r>
              <w:t>Repr</w:t>
            </w:r>
            <w:proofErr w:type="spellEnd"/>
            <w:r>
              <w:t>. 2</w:t>
            </w:r>
          </w:p>
          <w:p w14:paraId="1278B87C" w14:textId="654CBACD" w:rsidR="001E1C48" w:rsidRDefault="001E1C48" w:rsidP="00083CD6">
            <w:pPr>
              <w:pStyle w:val="Aufzhlung"/>
            </w:pPr>
            <w:r>
              <w:t xml:space="preserve">gewässergefährdend der Kategorie </w:t>
            </w:r>
            <w:proofErr w:type="spellStart"/>
            <w:r>
              <w:t>Aquatic</w:t>
            </w:r>
            <w:proofErr w:type="spellEnd"/>
            <w:r>
              <w:t xml:space="preserve"> </w:t>
            </w:r>
            <w:proofErr w:type="spellStart"/>
            <w:r>
              <w:t>Acute</w:t>
            </w:r>
            <w:proofErr w:type="spellEnd"/>
            <w:r>
              <w:t xml:space="preserve"> 1, </w:t>
            </w:r>
            <w:proofErr w:type="spellStart"/>
            <w:r>
              <w:t>Aquatic</w:t>
            </w:r>
            <w:proofErr w:type="spellEnd"/>
            <w:r>
              <w:t xml:space="preserve"> </w:t>
            </w:r>
            <w:proofErr w:type="spellStart"/>
            <w:r>
              <w:t>Chronic</w:t>
            </w:r>
            <w:proofErr w:type="spellEnd"/>
            <w:r>
              <w:t xml:space="preserve"> 1 oder </w:t>
            </w:r>
            <w:proofErr w:type="spellStart"/>
            <w:r>
              <w:t>Aquatic</w:t>
            </w:r>
            <w:proofErr w:type="spellEnd"/>
            <w:r>
              <w:t xml:space="preserve"> </w:t>
            </w:r>
            <w:proofErr w:type="spellStart"/>
            <w:r>
              <w:t>Chroni</w:t>
            </w:r>
            <w:r w:rsidR="00C2763D">
              <w:t>c</w:t>
            </w:r>
            <w:proofErr w:type="spellEnd"/>
            <w:r>
              <w:t xml:space="preserve"> 2</w:t>
            </w:r>
          </w:p>
          <w:p w14:paraId="3C4A338E" w14:textId="49FB3BBA" w:rsidR="001E1C48" w:rsidRDefault="001E1C48" w:rsidP="001243EF">
            <w:pPr>
              <w:pStyle w:val="Tabellentext"/>
            </w:pPr>
            <w:r w:rsidRPr="001243EF">
              <w:t xml:space="preserve">Die den Gefahrenklassen und -kategorien entsprechenden H-Sätze sind dem Anhang </w:t>
            </w:r>
            <w:r w:rsidR="00AC1BAC" w:rsidRPr="001243EF">
              <w:t>A</w:t>
            </w:r>
            <w:r w:rsidRPr="001243EF">
              <w:t xml:space="preserve"> zu entnehmen.</w:t>
            </w:r>
          </w:p>
          <w:p w14:paraId="05A8A582" w14:textId="7CD1AB87" w:rsidR="001E1C48" w:rsidRDefault="001E1C48" w:rsidP="001243EF">
            <w:pPr>
              <w:pStyle w:val="Aufzhlunga"/>
            </w:pPr>
            <w:r>
              <w:t>Stoffe, die in der TRGS 905</w:t>
            </w:r>
            <w:r w:rsidR="00704810">
              <w:rPr>
                <w:rStyle w:val="Funotenzeichen"/>
              </w:rPr>
              <w:footnoteReference w:id="4"/>
            </w:r>
            <w:r>
              <w:t xml:space="preserve"> eingestuft sind als:</w:t>
            </w:r>
          </w:p>
          <w:p w14:paraId="31E21450" w14:textId="5DE6D9D0" w:rsidR="001E1C48" w:rsidRDefault="001E1C48" w:rsidP="00083CD6">
            <w:pPr>
              <w:pStyle w:val="Aufzhlung"/>
            </w:pPr>
            <w:r>
              <w:t>krebserzeugend (K1A, K1B, K2</w:t>
            </w:r>
            <w:r w:rsidR="008239BC">
              <w:rPr>
                <w:rStyle w:val="Funotenzeichen"/>
              </w:rPr>
              <w:footnoteReference w:id="5"/>
            </w:r>
            <w:r>
              <w:t>),</w:t>
            </w:r>
          </w:p>
          <w:p w14:paraId="493221B8" w14:textId="46725BCE" w:rsidR="001E1C48" w:rsidRDefault="001E1C48" w:rsidP="00083CD6">
            <w:pPr>
              <w:pStyle w:val="Aufzhlung"/>
            </w:pPr>
            <w:r>
              <w:t>erbgutverändernde (M1A, M1B, M2)</w:t>
            </w:r>
          </w:p>
          <w:p w14:paraId="4AA5B01E" w14:textId="1914AC3D" w:rsidR="003465DA" w:rsidRPr="00994FEC" w:rsidRDefault="001E1C48" w:rsidP="00083CD6">
            <w:pPr>
              <w:pStyle w:val="Aufzhlung"/>
            </w:pPr>
            <w:r>
              <w:t>fortpflanzungsgefährdend (R</w:t>
            </w:r>
            <w:r w:rsidRPr="00CB7425">
              <w:rPr>
                <w:vertAlign w:val="subscript"/>
              </w:rPr>
              <w:t>F</w:t>
            </w:r>
            <w:r>
              <w:t>1A, R</w:t>
            </w:r>
            <w:r w:rsidRPr="00CB7425">
              <w:rPr>
                <w:vertAlign w:val="subscript"/>
              </w:rPr>
              <w:t>F</w:t>
            </w:r>
            <w:r>
              <w:t>1B, R</w:t>
            </w:r>
            <w:r w:rsidRPr="00CB7425">
              <w:rPr>
                <w:vertAlign w:val="subscript"/>
              </w:rPr>
              <w:t>F</w:t>
            </w:r>
            <w:r>
              <w:t>2, R</w:t>
            </w:r>
            <w:r w:rsidRPr="00CB7425">
              <w:rPr>
                <w:vertAlign w:val="subscript"/>
              </w:rPr>
              <w:t>D</w:t>
            </w:r>
            <w:r>
              <w:t>1A, R</w:t>
            </w:r>
            <w:r w:rsidRPr="00CB7425">
              <w:rPr>
                <w:vertAlign w:val="subscript"/>
              </w:rPr>
              <w:t>D</w:t>
            </w:r>
            <w:r>
              <w:t>1B, R</w:t>
            </w:r>
            <w:r w:rsidRPr="00CB7425">
              <w:rPr>
                <w:vertAlign w:val="subscript"/>
              </w:rPr>
              <w:t>D</w:t>
            </w:r>
            <w:r>
              <w:t>2)</w:t>
            </w:r>
          </w:p>
        </w:tc>
        <w:tc>
          <w:tcPr>
            <w:tcW w:w="2538" w:type="dxa"/>
            <w:shd w:val="clear" w:color="auto" w:fill="auto"/>
          </w:tcPr>
          <w:p w14:paraId="51624165" w14:textId="18DE94D4" w:rsidR="003465DA" w:rsidRPr="00994FEC" w:rsidRDefault="003465DA" w:rsidP="001243EF">
            <w:pPr>
              <w:pStyle w:val="Tabellentext"/>
            </w:pPr>
            <w:r w:rsidRPr="00994FEC">
              <w:t>Ausschlusskriterium</w:t>
            </w:r>
          </w:p>
          <w:p w14:paraId="41739902" w14:textId="7F57831D" w:rsidR="003465DA" w:rsidRPr="00994FEC" w:rsidRDefault="003465DA" w:rsidP="001243EF">
            <w:pPr>
              <w:pStyle w:val="Tabellentext"/>
            </w:pPr>
            <w:r w:rsidRPr="00994FEC">
              <w:t xml:space="preserve">Nachweis durch </w:t>
            </w:r>
            <w:r w:rsidR="001E1C48" w:rsidRPr="001E1C48">
              <w:t>Herstellererklärung</w:t>
            </w:r>
          </w:p>
        </w:tc>
        <w:tc>
          <w:tcPr>
            <w:tcW w:w="1692" w:type="dxa"/>
            <w:shd w:val="clear" w:color="auto" w:fill="auto"/>
            <w:vAlign w:val="center"/>
          </w:tcPr>
          <w:p w14:paraId="0AC1A8FD"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D7AAF">
              <w:rPr>
                <w:rFonts w:ascii="Meta Offc" w:hAnsi="Meta Offc" w:cs="Meta Offc"/>
                <w:sz w:val="18"/>
                <w:szCs w:val="18"/>
              </w:rPr>
            </w:r>
            <w:r w:rsidR="00CD7AAF">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34C25F48" w14:textId="77777777" w:rsidR="00083CD6" w:rsidRDefault="00083CD6" w:rsidP="002B12C5">
      <w:pPr>
        <w:pStyle w:val="Funotentext"/>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3465DA" w:rsidRPr="004C4B67" w14:paraId="42F24572" w14:textId="77777777" w:rsidTr="001E1C48">
        <w:trPr>
          <w:trHeight w:val="284"/>
          <w:tblHeader/>
        </w:trPr>
        <w:tc>
          <w:tcPr>
            <w:tcW w:w="5409" w:type="dxa"/>
            <w:shd w:val="clear" w:color="auto" w:fill="D9D9D9"/>
            <w:vAlign w:val="center"/>
          </w:tcPr>
          <w:p w14:paraId="416349D6" w14:textId="26FAF8D6" w:rsidR="003465DA" w:rsidRDefault="00083CD6" w:rsidP="001243EF">
            <w:pPr>
              <w:pStyle w:val="Tabellentext"/>
            </w:pPr>
            <w:r w:rsidRPr="00083CD6">
              <w:t>2</w:t>
            </w:r>
            <w:r w:rsidRPr="00083CD6">
              <w:tab/>
              <w:t>Spezielle stoffliche Anforderungen</w:t>
            </w:r>
          </w:p>
        </w:tc>
        <w:tc>
          <w:tcPr>
            <w:tcW w:w="2538" w:type="dxa"/>
            <w:shd w:val="clear" w:color="auto" w:fill="D9D9D9"/>
          </w:tcPr>
          <w:p w14:paraId="19147B26" w14:textId="77777777" w:rsidR="003465DA" w:rsidRPr="00994FEC" w:rsidRDefault="003465DA" w:rsidP="001243EF">
            <w:pPr>
              <w:pStyle w:val="Tabellentext"/>
            </w:pPr>
          </w:p>
        </w:tc>
        <w:tc>
          <w:tcPr>
            <w:tcW w:w="1692" w:type="dxa"/>
            <w:shd w:val="clear" w:color="auto" w:fill="D9D9D9"/>
            <w:vAlign w:val="center"/>
          </w:tcPr>
          <w:p w14:paraId="41C52391" w14:textId="77777777" w:rsidR="003465DA" w:rsidRPr="005B05B8" w:rsidRDefault="003465DA" w:rsidP="001243EF">
            <w:pPr>
              <w:pStyle w:val="Tabellentext"/>
            </w:pPr>
          </w:p>
        </w:tc>
      </w:tr>
      <w:tr w:rsidR="00083CD6" w:rsidRPr="004C4B67" w14:paraId="086D0E1F" w14:textId="77777777" w:rsidTr="001E1C48">
        <w:trPr>
          <w:trHeight w:val="284"/>
          <w:tblHeader/>
        </w:trPr>
        <w:tc>
          <w:tcPr>
            <w:tcW w:w="5409" w:type="dxa"/>
            <w:shd w:val="clear" w:color="auto" w:fill="D9D9D9"/>
            <w:vAlign w:val="center"/>
          </w:tcPr>
          <w:p w14:paraId="70B956AB" w14:textId="2B3D1F44" w:rsidR="00083CD6" w:rsidRPr="00083CD6" w:rsidRDefault="00083CD6" w:rsidP="001243EF">
            <w:pPr>
              <w:pStyle w:val="Tabellentext"/>
            </w:pPr>
            <w:r w:rsidRPr="00083CD6">
              <w:t>2.1</w:t>
            </w:r>
            <w:r w:rsidRPr="00083CD6">
              <w:tab/>
              <w:t>Pigmente</w:t>
            </w:r>
          </w:p>
        </w:tc>
        <w:tc>
          <w:tcPr>
            <w:tcW w:w="2538" w:type="dxa"/>
            <w:shd w:val="clear" w:color="auto" w:fill="D9D9D9"/>
          </w:tcPr>
          <w:p w14:paraId="113ED81C" w14:textId="77777777" w:rsidR="00083CD6" w:rsidRPr="00994FEC" w:rsidRDefault="00083CD6" w:rsidP="001243EF">
            <w:pPr>
              <w:pStyle w:val="Tabellentext"/>
            </w:pPr>
          </w:p>
        </w:tc>
        <w:tc>
          <w:tcPr>
            <w:tcW w:w="1692" w:type="dxa"/>
            <w:shd w:val="clear" w:color="auto" w:fill="D9D9D9"/>
            <w:vAlign w:val="center"/>
          </w:tcPr>
          <w:p w14:paraId="32F5528F" w14:textId="77777777" w:rsidR="00083CD6" w:rsidRPr="005B05B8" w:rsidRDefault="00083CD6" w:rsidP="001243EF">
            <w:pPr>
              <w:pStyle w:val="Tabellentext"/>
            </w:pPr>
          </w:p>
        </w:tc>
      </w:tr>
      <w:tr w:rsidR="003465DA" w:rsidRPr="004C4B67" w14:paraId="367DA2C9" w14:textId="77777777" w:rsidTr="001E1C48">
        <w:trPr>
          <w:trHeight w:val="284"/>
          <w:tblHeader/>
        </w:trPr>
        <w:tc>
          <w:tcPr>
            <w:tcW w:w="5409" w:type="dxa"/>
            <w:shd w:val="clear" w:color="auto" w:fill="auto"/>
          </w:tcPr>
          <w:p w14:paraId="635F0319" w14:textId="08B93D64" w:rsidR="003465DA" w:rsidRDefault="00083CD6" w:rsidP="001243EF">
            <w:pPr>
              <w:pStyle w:val="Tabellentext"/>
            </w:pPr>
            <w:r w:rsidRPr="00083CD6">
              <w:t>Pigmente, die Bleiverbindungen enthalten, dürfen der Wandfarbe nicht zugesetzt werden. Prozessbedingte, technisch unvermeidbare (natürliche oder produktionsbedingte) Verunreinigungen dürfen für Blei bis zu 200 ppm im Pigment enthalten sein.</w:t>
            </w:r>
          </w:p>
        </w:tc>
        <w:tc>
          <w:tcPr>
            <w:tcW w:w="2538" w:type="dxa"/>
            <w:shd w:val="clear" w:color="auto" w:fill="auto"/>
          </w:tcPr>
          <w:p w14:paraId="28A0F47A" w14:textId="77777777" w:rsidR="00083CD6" w:rsidRDefault="003465DA" w:rsidP="001243EF">
            <w:pPr>
              <w:pStyle w:val="Tabellentext"/>
            </w:pPr>
            <w:r w:rsidRPr="00994FEC">
              <w:t>Ausschlusskriterium</w:t>
            </w:r>
          </w:p>
          <w:p w14:paraId="528E74C1" w14:textId="6A1C74CC" w:rsidR="003465DA" w:rsidRPr="00994FEC" w:rsidRDefault="003465DA" w:rsidP="001243EF">
            <w:pPr>
              <w:pStyle w:val="Tabellentext"/>
            </w:pPr>
            <w:r w:rsidRPr="00994FEC">
              <w:t xml:space="preserve">Nachweis durch </w:t>
            </w:r>
            <w:r w:rsidR="00083CD6" w:rsidRPr="00083CD6">
              <w:t>Herstellererklärung</w:t>
            </w:r>
          </w:p>
        </w:tc>
        <w:tc>
          <w:tcPr>
            <w:tcW w:w="1692" w:type="dxa"/>
            <w:shd w:val="clear" w:color="auto" w:fill="auto"/>
            <w:vAlign w:val="center"/>
          </w:tcPr>
          <w:p w14:paraId="3E21EC93"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D7AAF">
              <w:rPr>
                <w:rFonts w:ascii="Meta Offc" w:hAnsi="Meta Offc" w:cs="Meta Offc"/>
                <w:sz w:val="18"/>
                <w:szCs w:val="18"/>
              </w:rPr>
            </w:r>
            <w:r w:rsidR="00CD7AAF">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465DA" w:rsidRPr="004C4B67" w14:paraId="2CE6CC5E" w14:textId="77777777" w:rsidTr="001E1C48">
        <w:trPr>
          <w:trHeight w:val="284"/>
          <w:tblHeader/>
        </w:trPr>
        <w:tc>
          <w:tcPr>
            <w:tcW w:w="5409" w:type="dxa"/>
            <w:shd w:val="clear" w:color="auto" w:fill="D9D9D9"/>
            <w:vAlign w:val="center"/>
          </w:tcPr>
          <w:p w14:paraId="40E44632" w14:textId="1A029E47" w:rsidR="003465DA" w:rsidRDefault="00083CD6" w:rsidP="001243EF">
            <w:pPr>
              <w:pStyle w:val="Tabellentext"/>
            </w:pPr>
            <w:r w:rsidRPr="00083CD6">
              <w:t>2.2</w:t>
            </w:r>
            <w:r w:rsidRPr="00083CD6">
              <w:tab/>
            </w:r>
            <w:proofErr w:type="spellStart"/>
            <w:r w:rsidRPr="00083CD6">
              <w:t>Alkylphenolethoxylate</w:t>
            </w:r>
            <w:proofErr w:type="spellEnd"/>
          </w:p>
        </w:tc>
        <w:tc>
          <w:tcPr>
            <w:tcW w:w="2538" w:type="dxa"/>
            <w:shd w:val="clear" w:color="auto" w:fill="D9D9D9"/>
            <w:vAlign w:val="center"/>
          </w:tcPr>
          <w:p w14:paraId="1065B047" w14:textId="77777777" w:rsidR="003465DA" w:rsidRPr="00994FEC" w:rsidRDefault="003465DA" w:rsidP="001243EF">
            <w:pPr>
              <w:pStyle w:val="Tabellentext"/>
            </w:pPr>
          </w:p>
        </w:tc>
        <w:tc>
          <w:tcPr>
            <w:tcW w:w="1692" w:type="dxa"/>
            <w:shd w:val="clear" w:color="auto" w:fill="D9D9D9"/>
            <w:vAlign w:val="center"/>
          </w:tcPr>
          <w:p w14:paraId="28284B8B" w14:textId="77777777" w:rsidR="003465DA" w:rsidRPr="00994FEC" w:rsidRDefault="003465DA" w:rsidP="001243EF">
            <w:pPr>
              <w:pStyle w:val="Tabellentext"/>
            </w:pPr>
          </w:p>
        </w:tc>
      </w:tr>
      <w:tr w:rsidR="003465DA" w:rsidRPr="004C4B67" w14:paraId="3C21D6CA" w14:textId="77777777" w:rsidTr="001E1C48">
        <w:trPr>
          <w:trHeight w:val="284"/>
          <w:tblHeader/>
        </w:trPr>
        <w:tc>
          <w:tcPr>
            <w:tcW w:w="5409" w:type="dxa"/>
            <w:shd w:val="clear" w:color="auto" w:fill="auto"/>
          </w:tcPr>
          <w:p w14:paraId="2D3B06D2" w14:textId="1F923F33" w:rsidR="003465DA" w:rsidRDefault="00AC1BAC" w:rsidP="001243EF">
            <w:pPr>
              <w:pStyle w:val="Tabellentext"/>
            </w:pPr>
            <w:r w:rsidRPr="00AC1BAC">
              <w:t xml:space="preserve">Produkte, die </w:t>
            </w:r>
            <w:proofErr w:type="spellStart"/>
            <w:r w:rsidRPr="00AC1BAC">
              <w:t>Alkylphenolethoxylate</w:t>
            </w:r>
            <w:proofErr w:type="spellEnd"/>
            <w:r w:rsidRPr="00AC1BAC">
              <w:t xml:space="preserve"> (APEO) und/oder deren Derivate enthalten, dürfen der Wandfarbe und den Rohstoffen nicht zugesetzt werden.</w:t>
            </w:r>
          </w:p>
        </w:tc>
        <w:tc>
          <w:tcPr>
            <w:tcW w:w="2538" w:type="dxa"/>
            <w:shd w:val="clear" w:color="auto" w:fill="auto"/>
          </w:tcPr>
          <w:p w14:paraId="4C816381" w14:textId="6A280693" w:rsidR="003465DA" w:rsidRPr="00994FEC" w:rsidRDefault="003465DA" w:rsidP="001243EF">
            <w:pPr>
              <w:pStyle w:val="Tabellentext"/>
            </w:pPr>
            <w:r w:rsidRPr="00994FEC">
              <w:t>Ausschlusskriterium</w:t>
            </w:r>
          </w:p>
          <w:p w14:paraId="1AD33511" w14:textId="51C6A647" w:rsidR="003465DA" w:rsidRPr="00994FEC" w:rsidRDefault="003465DA" w:rsidP="001243EF">
            <w:pPr>
              <w:pStyle w:val="Tabellentext"/>
            </w:pPr>
            <w:r w:rsidRPr="00994FEC">
              <w:t xml:space="preserve">Nachweis durch </w:t>
            </w:r>
            <w:r w:rsidR="00AC1BAC" w:rsidRPr="00AC1BAC">
              <w:t>Herstellererklärung</w:t>
            </w:r>
          </w:p>
        </w:tc>
        <w:tc>
          <w:tcPr>
            <w:tcW w:w="1692" w:type="dxa"/>
            <w:shd w:val="clear" w:color="auto" w:fill="auto"/>
            <w:vAlign w:val="center"/>
          </w:tcPr>
          <w:p w14:paraId="33A7818D"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D7AAF">
              <w:rPr>
                <w:rFonts w:ascii="Meta Offc" w:hAnsi="Meta Offc" w:cs="Meta Offc"/>
                <w:sz w:val="18"/>
                <w:szCs w:val="18"/>
              </w:rPr>
            </w:r>
            <w:r w:rsidR="00CD7AAF">
              <w:rPr>
                <w:rFonts w:ascii="Meta Offc" w:hAnsi="Meta Offc" w:cs="Meta Offc"/>
                <w:sz w:val="18"/>
                <w:szCs w:val="18"/>
              </w:rPr>
              <w:fldChar w:fldCharType="separate"/>
            </w:r>
            <w:r w:rsidRPr="005B05B8">
              <w:rPr>
                <w:rFonts w:ascii="Meta Offc" w:hAnsi="Meta Offc" w:cs="Meta Offc"/>
                <w:sz w:val="18"/>
                <w:szCs w:val="18"/>
              </w:rPr>
              <w:fldChar w:fldCharType="end"/>
            </w:r>
          </w:p>
        </w:tc>
      </w:tr>
      <w:tr w:rsidR="001E1C48" w:rsidRPr="004C4B67" w14:paraId="237F0367" w14:textId="77777777" w:rsidTr="003A3900">
        <w:trPr>
          <w:trHeight w:val="185"/>
          <w:tblHeader/>
        </w:trPr>
        <w:tc>
          <w:tcPr>
            <w:tcW w:w="5409" w:type="dxa"/>
            <w:shd w:val="clear" w:color="auto" w:fill="D9D9D9"/>
            <w:vAlign w:val="center"/>
          </w:tcPr>
          <w:p w14:paraId="10B6A89F" w14:textId="4A88AB6E" w:rsidR="001E1C48" w:rsidRPr="00994FEC" w:rsidRDefault="00AC1BAC" w:rsidP="001243EF">
            <w:pPr>
              <w:pStyle w:val="Tabellentext"/>
            </w:pPr>
            <w:r w:rsidRPr="00AC1BAC">
              <w:t>2.3</w:t>
            </w:r>
            <w:r w:rsidRPr="00AC1BAC">
              <w:tab/>
              <w:t>Weichmacher</w:t>
            </w:r>
          </w:p>
        </w:tc>
        <w:tc>
          <w:tcPr>
            <w:tcW w:w="2538" w:type="dxa"/>
            <w:shd w:val="clear" w:color="auto" w:fill="D9D9D9"/>
            <w:vAlign w:val="center"/>
          </w:tcPr>
          <w:p w14:paraId="4A6FA09F" w14:textId="77777777" w:rsidR="001E1C48" w:rsidRPr="00994FEC" w:rsidRDefault="001E1C48" w:rsidP="001243EF">
            <w:pPr>
              <w:pStyle w:val="Tabellentext"/>
            </w:pPr>
          </w:p>
        </w:tc>
        <w:tc>
          <w:tcPr>
            <w:tcW w:w="1692" w:type="dxa"/>
            <w:shd w:val="clear" w:color="auto" w:fill="D9D9D9"/>
            <w:vAlign w:val="center"/>
          </w:tcPr>
          <w:p w14:paraId="3771CAD4" w14:textId="77777777" w:rsidR="001E1C48" w:rsidRPr="00994FEC" w:rsidRDefault="001E1C48" w:rsidP="001243EF">
            <w:pPr>
              <w:pStyle w:val="Tabellentext"/>
            </w:pPr>
          </w:p>
        </w:tc>
      </w:tr>
      <w:tr w:rsidR="001E1C48" w:rsidRPr="004C4B67" w14:paraId="4BFF7692" w14:textId="77777777" w:rsidTr="003A3900">
        <w:trPr>
          <w:trHeight w:val="284"/>
          <w:tblHeader/>
        </w:trPr>
        <w:tc>
          <w:tcPr>
            <w:tcW w:w="5409" w:type="dxa"/>
            <w:shd w:val="clear" w:color="auto" w:fill="auto"/>
          </w:tcPr>
          <w:p w14:paraId="5AB25ED5" w14:textId="5993DA1D" w:rsidR="001E1C48" w:rsidRPr="00994FEC" w:rsidRDefault="00AC1BAC" w:rsidP="001243EF">
            <w:pPr>
              <w:pStyle w:val="Tabellentext"/>
            </w:pPr>
            <w:r w:rsidRPr="00AC1BAC">
              <w:t xml:space="preserve">Produkte, die weichmachende Substanzen aus der Gruppe der Phthalate oder aus der Gruppe der Organophosphate enthalten, oder vergleichbare andere hochsiedende Stoffe dürfen der emissionsarmen Wandfarbe nicht zugesetzt werden (äußere Weichmacher im Sinne der </w:t>
            </w:r>
            <w:proofErr w:type="spellStart"/>
            <w:r w:rsidRPr="00AC1BAC">
              <w:t>VdL</w:t>
            </w:r>
            <w:proofErr w:type="spellEnd"/>
            <w:r w:rsidRPr="00AC1BAC">
              <w:t>-Richtlinie 01)</w:t>
            </w:r>
            <w:r w:rsidR="00710A83">
              <w:t>.</w:t>
            </w:r>
            <w:r w:rsidRPr="00AC1BAC">
              <w:t xml:space="preserve"> Das Kriterium gilt als erfüllt, wenn der Weichmachergehalt im Fertigprodukt 1 g/l nicht überschreitet.</w:t>
            </w:r>
          </w:p>
        </w:tc>
        <w:tc>
          <w:tcPr>
            <w:tcW w:w="2538" w:type="dxa"/>
            <w:shd w:val="clear" w:color="auto" w:fill="auto"/>
          </w:tcPr>
          <w:p w14:paraId="07ECF81C" w14:textId="77777777" w:rsidR="001E1C48" w:rsidRPr="00994FEC" w:rsidRDefault="001E1C48" w:rsidP="001243EF">
            <w:pPr>
              <w:pStyle w:val="Tabellentext"/>
            </w:pPr>
            <w:r w:rsidRPr="00994FEC">
              <w:t>Ausschlusskriterium</w:t>
            </w:r>
          </w:p>
          <w:p w14:paraId="28F6FEC6" w14:textId="4DFCA826" w:rsidR="001E1C48" w:rsidRPr="00994FEC" w:rsidRDefault="001E1C48" w:rsidP="001243EF">
            <w:pPr>
              <w:pStyle w:val="Tabellentext"/>
            </w:pPr>
            <w:r w:rsidRPr="00994FEC">
              <w:t xml:space="preserve">Nachweis durch </w:t>
            </w:r>
            <w:r w:rsidR="00AC1BAC" w:rsidRPr="00AC1BAC">
              <w:t>Herstellererklärung</w:t>
            </w:r>
          </w:p>
        </w:tc>
        <w:tc>
          <w:tcPr>
            <w:tcW w:w="1692" w:type="dxa"/>
            <w:shd w:val="clear" w:color="auto" w:fill="auto"/>
            <w:vAlign w:val="center"/>
          </w:tcPr>
          <w:p w14:paraId="2698B90A" w14:textId="77777777" w:rsidR="001E1C48" w:rsidRPr="005B05B8" w:rsidRDefault="001E1C48" w:rsidP="003A390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D7AAF">
              <w:rPr>
                <w:rFonts w:ascii="Meta Offc" w:hAnsi="Meta Offc" w:cs="Meta Offc"/>
                <w:sz w:val="18"/>
                <w:szCs w:val="18"/>
              </w:rPr>
            </w:r>
            <w:r w:rsidR="00CD7AAF">
              <w:rPr>
                <w:rFonts w:ascii="Meta Offc" w:hAnsi="Meta Offc" w:cs="Meta Offc"/>
                <w:sz w:val="18"/>
                <w:szCs w:val="18"/>
              </w:rPr>
              <w:fldChar w:fldCharType="separate"/>
            </w:r>
            <w:r w:rsidRPr="005B05B8">
              <w:rPr>
                <w:rFonts w:ascii="Meta Offc" w:hAnsi="Meta Offc" w:cs="Meta Offc"/>
                <w:sz w:val="18"/>
                <w:szCs w:val="18"/>
              </w:rPr>
              <w:fldChar w:fldCharType="end"/>
            </w:r>
          </w:p>
        </w:tc>
      </w:tr>
      <w:tr w:rsidR="001E1C48" w:rsidRPr="004C4B67" w14:paraId="1F7DEFDA" w14:textId="77777777" w:rsidTr="003A3900">
        <w:trPr>
          <w:trHeight w:val="284"/>
          <w:tblHeader/>
        </w:trPr>
        <w:tc>
          <w:tcPr>
            <w:tcW w:w="5409" w:type="dxa"/>
            <w:shd w:val="clear" w:color="auto" w:fill="D9D9D9"/>
            <w:vAlign w:val="center"/>
          </w:tcPr>
          <w:p w14:paraId="227492E3" w14:textId="0D104A93" w:rsidR="001E1C48" w:rsidRDefault="00AC1BAC" w:rsidP="001243EF">
            <w:pPr>
              <w:pStyle w:val="Tabellentext"/>
            </w:pPr>
            <w:r w:rsidRPr="00AC1BAC">
              <w:t>2.4</w:t>
            </w:r>
            <w:r w:rsidRPr="00AC1BAC">
              <w:tab/>
              <w:t>Perfluorierte und polyfluorierte Chemikalien</w:t>
            </w:r>
          </w:p>
        </w:tc>
        <w:tc>
          <w:tcPr>
            <w:tcW w:w="2538" w:type="dxa"/>
            <w:shd w:val="clear" w:color="auto" w:fill="D9D9D9"/>
          </w:tcPr>
          <w:p w14:paraId="6D33CBC1" w14:textId="77777777" w:rsidR="001E1C48" w:rsidRPr="00994FEC" w:rsidRDefault="001E1C48" w:rsidP="001243EF">
            <w:pPr>
              <w:pStyle w:val="Tabellentext"/>
            </w:pPr>
          </w:p>
        </w:tc>
        <w:tc>
          <w:tcPr>
            <w:tcW w:w="1692" w:type="dxa"/>
            <w:shd w:val="clear" w:color="auto" w:fill="D9D9D9"/>
            <w:vAlign w:val="center"/>
          </w:tcPr>
          <w:p w14:paraId="771C9B47" w14:textId="77777777" w:rsidR="001E1C48" w:rsidRPr="005B05B8" w:rsidRDefault="001E1C48" w:rsidP="001243EF">
            <w:pPr>
              <w:pStyle w:val="Tabellentext"/>
            </w:pPr>
          </w:p>
        </w:tc>
      </w:tr>
      <w:tr w:rsidR="001E1C48" w:rsidRPr="004C4B67" w14:paraId="11950C88" w14:textId="77777777" w:rsidTr="003A3900">
        <w:trPr>
          <w:trHeight w:val="284"/>
          <w:tblHeader/>
        </w:trPr>
        <w:tc>
          <w:tcPr>
            <w:tcW w:w="5409" w:type="dxa"/>
            <w:shd w:val="clear" w:color="auto" w:fill="auto"/>
          </w:tcPr>
          <w:p w14:paraId="3D6737D1" w14:textId="0F3CD2B3" w:rsidR="001E1C48" w:rsidRDefault="00AC1BAC" w:rsidP="001243EF">
            <w:pPr>
              <w:pStyle w:val="Tabellentext"/>
            </w:pPr>
            <w:r w:rsidRPr="00AC1BAC">
              <w:t xml:space="preserve">Es dürfen keine per- und polyfluorierten Chemikalien (PFC), beispielsweise </w:t>
            </w:r>
            <w:proofErr w:type="spellStart"/>
            <w:r w:rsidRPr="00AC1BAC">
              <w:t>Fluorcarbonharze</w:t>
            </w:r>
            <w:proofErr w:type="spellEnd"/>
            <w:r w:rsidRPr="00AC1BAC">
              <w:t xml:space="preserve"> und -dispersionen, perfluorierte Tenside, perfluorierte Sulfon- und Carbonsäuren sowie Stoffe, die möglicherweise zu diesen abgebaut werden, eingesetzt werden. Das gilt auch für mit PFC behandelte Vorprodukte.</w:t>
            </w:r>
          </w:p>
        </w:tc>
        <w:tc>
          <w:tcPr>
            <w:tcW w:w="2538" w:type="dxa"/>
            <w:shd w:val="clear" w:color="auto" w:fill="auto"/>
          </w:tcPr>
          <w:p w14:paraId="3BD51A8D" w14:textId="554382C7" w:rsidR="001E1C48" w:rsidRPr="00994FEC" w:rsidRDefault="001E1C48" w:rsidP="001243EF">
            <w:pPr>
              <w:pStyle w:val="Tabellentext"/>
            </w:pPr>
            <w:r w:rsidRPr="00994FEC">
              <w:t>Ausschlusskriterium</w:t>
            </w:r>
          </w:p>
          <w:p w14:paraId="796873F4" w14:textId="198DB010" w:rsidR="001E1C48" w:rsidRPr="00994FEC" w:rsidRDefault="001E1C48" w:rsidP="001243EF">
            <w:pPr>
              <w:pStyle w:val="Tabellentext"/>
            </w:pPr>
            <w:r w:rsidRPr="00994FEC">
              <w:t xml:space="preserve">Nachweis </w:t>
            </w:r>
            <w:r w:rsidRPr="00AC1BAC">
              <w:t xml:space="preserve">durch </w:t>
            </w:r>
            <w:r w:rsidR="00AC1BAC" w:rsidRPr="00AC1BAC">
              <w:t>Herstellererklärung</w:t>
            </w:r>
          </w:p>
        </w:tc>
        <w:tc>
          <w:tcPr>
            <w:tcW w:w="1692" w:type="dxa"/>
            <w:shd w:val="clear" w:color="auto" w:fill="auto"/>
            <w:vAlign w:val="center"/>
          </w:tcPr>
          <w:p w14:paraId="37354496" w14:textId="77777777" w:rsidR="001E1C48" w:rsidRPr="005B05B8" w:rsidRDefault="001E1C48" w:rsidP="003A390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D7AAF">
              <w:rPr>
                <w:rFonts w:ascii="Meta Offc" w:hAnsi="Meta Offc" w:cs="Meta Offc"/>
                <w:sz w:val="18"/>
                <w:szCs w:val="18"/>
              </w:rPr>
            </w:r>
            <w:r w:rsidR="00CD7AAF">
              <w:rPr>
                <w:rFonts w:ascii="Meta Offc" w:hAnsi="Meta Offc" w:cs="Meta Offc"/>
                <w:sz w:val="18"/>
                <w:szCs w:val="18"/>
              </w:rPr>
              <w:fldChar w:fldCharType="separate"/>
            </w:r>
            <w:r w:rsidRPr="005B05B8">
              <w:rPr>
                <w:rFonts w:ascii="Meta Offc" w:hAnsi="Meta Offc" w:cs="Meta Offc"/>
                <w:sz w:val="18"/>
                <w:szCs w:val="18"/>
              </w:rPr>
              <w:fldChar w:fldCharType="end"/>
            </w:r>
          </w:p>
        </w:tc>
      </w:tr>
      <w:tr w:rsidR="00C626CE" w:rsidRPr="005B05B8" w14:paraId="179B08DB" w14:textId="77777777" w:rsidTr="00F90AF3">
        <w:trPr>
          <w:trHeight w:val="284"/>
          <w:tblHeader/>
        </w:trPr>
        <w:tc>
          <w:tcPr>
            <w:tcW w:w="5409" w:type="dxa"/>
            <w:shd w:val="clear" w:color="auto" w:fill="D9D9D9"/>
            <w:vAlign w:val="center"/>
          </w:tcPr>
          <w:p w14:paraId="306637F9" w14:textId="777E698C" w:rsidR="00C626CE" w:rsidRDefault="00C626CE" w:rsidP="00F90AF3">
            <w:pPr>
              <w:pStyle w:val="Tabellentext"/>
            </w:pPr>
            <w:r w:rsidRPr="00AC1BAC">
              <w:t>2.</w:t>
            </w:r>
            <w:r>
              <w:t>5</w:t>
            </w:r>
            <w:r w:rsidRPr="00AC1BAC">
              <w:tab/>
            </w:r>
            <w:r w:rsidRPr="00C626CE">
              <w:t>Kennzeichnung von Umwelt- und Gesundheitsgefahren</w:t>
            </w:r>
          </w:p>
        </w:tc>
        <w:tc>
          <w:tcPr>
            <w:tcW w:w="2538" w:type="dxa"/>
            <w:shd w:val="clear" w:color="auto" w:fill="D9D9D9"/>
          </w:tcPr>
          <w:p w14:paraId="5C7E1ACE" w14:textId="77777777" w:rsidR="00C626CE" w:rsidRPr="00994FEC" w:rsidRDefault="00C626CE" w:rsidP="00F90AF3">
            <w:pPr>
              <w:pStyle w:val="Tabellentext"/>
            </w:pPr>
          </w:p>
        </w:tc>
        <w:tc>
          <w:tcPr>
            <w:tcW w:w="1692" w:type="dxa"/>
            <w:shd w:val="clear" w:color="auto" w:fill="D9D9D9"/>
            <w:vAlign w:val="center"/>
          </w:tcPr>
          <w:p w14:paraId="6CD73862" w14:textId="77777777" w:rsidR="00C626CE" w:rsidRPr="005B05B8" w:rsidRDefault="00C626CE" w:rsidP="00F90AF3">
            <w:pPr>
              <w:pStyle w:val="Tabellentext"/>
            </w:pPr>
          </w:p>
        </w:tc>
      </w:tr>
      <w:tr w:rsidR="00C626CE" w:rsidRPr="005B05B8" w14:paraId="29D9F6C7" w14:textId="77777777" w:rsidTr="00F90AF3">
        <w:trPr>
          <w:trHeight w:val="284"/>
          <w:tblHeader/>
        </w:trPr>
        <w:tc>
          <w:tcPr>
            <w:tcW w:w="5409" w:type="dxa"/>
            <w:shd w:val="clear" w:color="auto" w:fill="auto"/>
          </w:tcPr>
          <w:p w14:paraId="31AF79C6" w14:textId="6BB044A6" w:rsidR="00C626CE" w:rsidRDefault="00C626CE" w:rsidP="00F90AF3">
            <w:pPr>
              <w:pStyle w:val="Tabellentext"/>
            </w:pPr>
            <w:r w:rsidRPr="00C626CE">
              <w:t>Stoffe mit anderen gefährlichen Eigenschaften in Konzentrationen, die zu einer Einstufung und Kennzeichnung des Fertigerzeugnisses mit einem GHS-Gefahrenpiktogramm für Gesundheits- und Umweltgefahren führen, dürfen der Wandfarbe nicht zugesetzt werden.</w:t>
            </w:r>
          </w:p>
        </w:tc>
        <w:tc>
          <w:tcPr>
            <w:tcW w:w="2538" w:type="dxa"/>
            <w:shd w:val="clear" w:color="auto" w:fill="auto"/>
          </w:tcPr>
          <w:p w14:paraId="33DF6DF5" w14:textId="77777777" w:rsidR="00C626CE" w:rsidRPr="00994FEC" w:rsidRDefault="00C626CE" w:rsidP="00F90AF3">
            <w:pPr>
              <w:pStyle w:val="Tabellentext"/>
            </w:pPr>
            <w:r w:rsidRPr="00994FEC">
              <w:t>Ausschlusskriterium</w:t>
            </w:r>
          </w:p>
          <w:p w14:paraId="1D8A1F5B" w14:textId="6B72C5D2" w:rsidR="00C626CE" w:rsidRPr="00994FEC" w:rsidRDefault="00C626CE" w:rsidP="00F90AF3">
            <w:pPr>
              <w:pStyle w:val="Tabellentext"/>
            </w:pPr>
            <w:r w:rsidRPr="00994FEC">
              <w:t xml:space="preserve">Nachweis </w:t>
            </w:r>
            <w:r w:rsidRPr="00AC1BAC">
              <w:t>durch Herstellererklärung</w:t>
            </w:r>
            <w:r>
              <w:t xml:space="preserve"> </w:t>
            </w:r>
          </w:p>
        </w:tc>
        <w:tc>
          <w:tcPr>
            <w:tcW w:w="1692" w:type="dxa"/>
            <w:shd w:val="clear" w:color="auto" w:fill="auto"/>
            <w:vAlign w:val="center"/>
          </w:tcPr>
          <w:p w14:paraId="56E1A73F" w14:textId="77777777" w:rsidR="00C626CE" w:rsidRPr="005B05B8" w:rsidRDefault="00C626CE" w:rsidP="00F90AF3">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D7AAF">
              <w:rPr>
                <w:rFonts w:ascii="Meta Offc" w:hAnsi="Meta Offc" w:cs="Meta Offc"/>
                <w:sz w:val="18"/>
                <w:szCs w:val="18"/>
              </w:rPr>
            </w:r>
            <w:r w:rsidR="00CD7AAF">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073E12CA" w14:textId="77777777" w:rsidR="00AC1BAC" w:rsidRDefault="00AC1BAC"/>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1E1C48" w:rsidRPr="004C4B67" w14:paraId="11A96BC2" w14:textId="77777777" w:rsidTr="003A3900">
        <w:trPr>
          <w:trHeight w:val="284"/>
          <w:tblHeader/>
        </w:trPr>
        <w:tc>
          <w:tcPr>
            <w:tcW w:w="5409" w:type="dxa"/>
            <w:shd w:val="clear" w:color="auto" w:fill="D9D9D9"/>
            <w:vAlign w:val="center"/>
          </w:tcPr>
          <w:p w14:paraId="1E0E6F50" w14:textId="59FAAD31" w:rsidR="001E1C48" w:rsidRDefault="00AC1BAC" w:rsidP="001243EF">
            <w:pPr>
              <w:pStyle w:val="Tabellentext"/>
            </w:pPr>
            <w:r w:rsidRPr="00AC1BAC">
              <w:t>3</w:t>
            </w:r>
            <w:r w:rsidRPr="00AC1BAC">
              <w:tab/>
              <w:t>Flüchtige organische Stoffe</w:t>
            </w:r>
          </w:p>
        </w:tc>
        <w:tc>
          <w:tcPr>
            <w:tcW w:w="2538" w:type="dxa"/>
            <w:shd w:val="clear" w:color="auto" w:fill="D9D9D9"/>
            <w:vAlign w:val="center"/>
          </w:tcPr>
          <w:p w14:paraId="2AD1027E" w14:textId="77777777" w:rsidR="001E1C48" w:rsidRPr="00994FEC" w:rsidRDefault="001E1C48" w:rsidP="001243EF">
            <w:pPr>
              <w:pStyle w:val="Tabellentext"/>
            </w:pPr>
          </w:p>
        </w:tc>
        <w:tc>
          <w:tcPr>
            <w:tcW w:w="1692" w:type="dxa"/>
            <w:shd w:val="clear" w:color="auto" w:fill="D9D9D9"/>
            <w:vAlign w:val="center"/>
          </w:tcPr>
          <w:p w14:paraId="2F59589E" w14:textId="77777777" w:rsidR="001E1C48" w:rsidRPr="00994FEC" w:rsidRDefault="001E1C48" w:rsidP="001243EF">
            <w:pPr>
              <w:pStyle w:val="Tabellentext"/>
            </w:pPr>
          </w:p>
        </w:tc>
      </w:tr>
      <w:tr w:rsidR="001E1C48" w:rsidRPr="004C4B67" w14:paraId="215198E1" w14:textId="77777777" w:rsidTr="003A3900">
        <w:trPr>
          <w:trHeight w:val="284"/>
          <w:tblHeader/>
        </w:trPr>
        <w:tc>
          <w:tcPr>
            <w:tcW w:w="5409" w:type="dxa"/>
            <w:shd w:val="clear" w:color="auto" w:fill="auto"/>
          </w:tcPr>
          <w:p w14:paraId="2B97BA75" w14:textId="6F2A3CCD" w:rsidR="001E1C48" w:rsidRDefault="00AC1BAC" w:rsidP="001243EF">
            <w:pPr>
              <w:pStyle w:val="Tabellentext"/>
            </w:pPr>
            <w:r w:rsidRPr="00AC1BAC">
              <w:t xml:space="preserve">Der Gehalt der Wandfarbe in der gebrauchsfertigen Form (dies gilt z. B. auch für Farbmischsysteme) an flüchtigen organischen Stoffen (VOC, Volatile </w:t>
            </w:r>
            <w:proofErr w:type="spellStart"/>
            <w:r w:rsidRPr="00AC1BAC">
              <w:t>Organic</w:t>
            </w:r>
            <w:proofErr w:type="spellEnd"/>
            <w:r w:rsidRPr="00AC1BAC">
              <w:t xml:space="preserve"> </w:t>
            </w:r>
            <w:proofErr w:type="spellStart"/>
            <w:r w:rsidRPr="00AC1BAC">
              <w:t>Compounds</w:t>
            </w:r>
            <w:proofErr w:type="spellEnd"/>
            <w:r w:rsidRPr="00AC1BAC">
              <w:t xml:space="preserve">) darf den Höchstwert von 700 ppm nicht überschreiten. Unter VOC sind alle organischen Substanzen (z. B. Restmonomere, Lösemittel, Filmbildungshilfsmittel, Konservierungsmittel und andere produktionsbedingte Begleitstoffe) zu verstehen, welche durch Totalverdampfung und anschließender gaschromatographischer Analyse bis zur Retentionszeit der Substanz </w:t>
            </w:r>
            <w:proofErr w:type="spellStart"/>
            <w:r w:rsidRPr="00AC1BAC">
              <w:t>Tetradecan</w:t>
            </w:r>
            <w:proofErr w:type="spellEnd"/>
            <w:r w:rsidRPr="00AC1BAC">
              <w:t xml:space="preserve"> (Siedepunkt: 252,6 °C) auf einer unpolaren Trennsäule eluiert werden.</w:t>
            </w:r>
          </w:p>
        </w:tc>
        <w:tc>
          <w:tcPr>
            <w:tcW w:w="2538" w:type="dxa"/>
            <w:shd w:val="clear" w:color="auto" w:fill="auto"/>
          </w:tcPr>
          <w:p w14:paraId="76D8F131" w14:textId="6696FC36" w:rsidR="001E1C48" w:rsidRPr="00994FEC" w:rsidRDefault="001E1C48" w:rsidP="001243EF">
            <w:pPr>
              <w:pStyle w:val="Tabellentext"/>
            </w:pPr>
            <w:r w:rsidRPr="00994FEC">
              <w:t>Ausschlusskriterium</w:t>
            </w:r>
          </w:p>
          <w:p w14:paraId="7BA9EB12" w14:textId="46FD8758" w:rsidR="001E1C48" w:rsidRPr="00994FEC" w:rsidRDefault="001E1C48" w:rsidP="001243EF">
            <w:pPr>
              <w:pStyle w:val="Tabellentext"/>
            </w:pPr>
            <w:r w:rsidRPr="00994FEC">
              <w:t xml:space="preserve">Nachweis durch </w:t>
            </w:r>
            <w:r w:rsidR="00AC1BAC" w:rsidRPr="00AC1BAC">
              <w:t>Vorlage des Prüfprotokolls gemäß Prüfverfahren nach DIN EN ISO 17895 (Prüfung des In-</w:t>
            </w:r>
            <w:proofErr w:type="spellStart"/>
            <w:r w:rsidR="00AC1BAC" w:rsidRPr="00AC1BAC">
              <w:t>can</w:t>
            </w:r>
            <w:proofErr w:type="spellEnd"/>
            <w:r w:rsidR="00AC1BAC" w:rsidRPr="00AC1BAC">
              <w:t xml:space="preserve"> VOC Gehaltes in wasserverdünnbaren Dispersionsfarben) oder nach DIN EN ISO 11890-2 (Beschichtungsstoffe – Bestimmung des Gehaltes an flüchtigen organischen Verbindungen (VOC-Gehalt)) einer nach DIN EN ISO/IEC 17025 für die jeweilige Methode akkreditierten Prüfstelle. Hierzu ist die Zertifizierungsurkunde oder Akkreditierungsurkunde des Deutschen Akkreditierungsrates (DAR) oder eines anderen Akkreditierungssystems, das in das multinationale Agreement (MLA) aufgenommen ist, vorzulegen. Erfolgt die Prüfung nach DIN EN ISO 11890-2 ist eine Bestimmungsgrenze von 100 ppm durch das Prüflabor nachzuweisen.</w:t>
            </w:r>
          </w:p>
        </w:tc>
        <w:tc>
          <w:tcPr>
            <w:tcW w:w="1692" w:type="dxa"/>
            <w:shd w:val="clear" w:color="auto" w:fill="auto"/>
            <w:vAlign w:val="center"/>
          </w:tcPr>
          <w:p w14:paraId="40ABFE8F" w14:textId="77777777" w:rsidR="001E1C48" w:rsidRPr="005B05B8" w:rsidRDefault="001E1C48" w:rsidP="003A390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D7AAF">
              <w:rPr>
                <w:rFonts w:ascii="Meta Offc" w:hAnsi="Meta Offc" w:cs="Meta Offc"/>
                <w:sz w:val="18"/>
                <w:szCs w:val="18"/>
              </w:rPr>
            </w:r>
            <w:r w:rsidR="00CD7AAF">
              <w:rPr>
                <w:rFonts w:ascii="Meta Offc" w:hAnsi="Meta Offc" w:cs="Meta Offc"/>
                <w:sz w:val="18"/>
                <w:szCs w:val="18"/>
              </w:rPr>
              <w:fldChar w:fldCharType="separate"/>
            </w:r>
            <w:r w:rsidRPr="005B05B8">
              <w:rPr>
                <w:rFonts w:ascii="Meta Offc" w:hAnsi="Meta Offc" w:cs="Meta Offc"/>
                <w:sz w:val="18"/>
                <w:szCs w:val="18"/>
              </w:rPr>
              <w:fldChar w:fldCharType="end"/>
            </w:r>
          </w:p>
        </w:tc>
      </w:tr>
      <w:tr w:rsidR="001E1C48" w:rsidRPr="004C4B67" w14:paraId="0731D93A" w14:textId="77777777" w:rsidTr="003A3900">
        <w:trPr>
          <w:trHeight w:val="185"/>
          <w:tblHeader/>
        </w:trPr>
        <w:tc>
          <w:tcPr>
            <w:tcW w:w="5409" w:type="dxa"/>
            <w:shd w:val="clear" w:color="auto" w:fill="D9D9D9"/>
            <w:vAlign w:val="center"/>
          </w:tcPr>
          <w:p w14:paraId="5262BCEA" w14:textId="72201EF5" w:rsidR="001E1C48" w:rsidRPr="00994FEC" w:rsidRDefault="00AC1BAC" w:rsidP="001243EF">
            <w:pPr>
              <w:pStyle w:val="Tabellentext"/>
            </w:pPr>
            <w:r>
              <w:t>4</w:t>
            </w:r>
            <w:r w:rsidRPr="00AC1BAC">
              <w:tab/>
              <w:t>Schwer flüchtige organische Stoffe</w:t>
            </w:r>
          </w:p>
        </w:tc>
        <w:tc>
          <w:tcPr>
            <w:tcW w:w="2538" w:type="dxa"/>
            <w:shd w:val="clear" w:color="auto" w:fill="D9D9D9"/>
            <w:vAlign w:val="center"/>
          </w:tcPr>
          <w:p w14:paraId="30F63A4B" w14:textId="77777777" w:rsidR="001E1C48" w:rsidRPr="00994FEC" w:rsidRDefault="001E1C48" w:rsidP="001243EF">
            <w:pPr>
              <w:pStyle w:val="Tabellentext"/>
            </w:pPr>
          </w:p>
        </w:tc>
        <w:tc>
          <w:tcPr>
            <w:tcW w:w="1692" w:type="dxa"/>
            <w:shd w:val="clear" w:color="auto" w:fill="D9D9D9"/>
            <w:vAlign w:val="center"/>
          </w:tcPr>
          <w:p w14:paraId="71272E8D" w14:textId="77777777" w:rsidR="001E1C48" w:rsidRPr="00994FEC" w:rsidRDefault="001E1C48" w:rsidP="001243EF">
            <w:pPr>
              <w:pStyle w:val="Tabellentext"/>
            </w:pPr>
          </w:p>
        </w:tc>
      </w:tr>
      <w:tr w:rsidR="001E1C48" w:rsidRPr="004C4B67" w14:paraId="0A046DEA" w14:textId="77777777" w:rsidTr="003A3900">
        <w:trPr>
          <w:trHeight w:val="284"/>
          <w:tblHeader/>
        </w:trPr>
        <w:tc>
          <w:tcPr>
            <w:tcW w:w="5409" w:type="dxa"/>
            <w:shd w:val="clear" w:color="auto" w:fill="auto"/>
          </w:tcPr>
          <w:p w14:paraId="1E673F3E" w14:textId="5540745F" w:rsidR="001E1C48" w:rsidRPr="00994FEC" w:rsidRDefault="00AC1BAC" w:rsidP="001243EF">
            <w:pPr>
              <w:pStyle w:val="Tabellentext"/>
            </w:pPr>
            <w:r w:rsidRPr="00AC1BAC">
              <w:t xml:space="preserve">Der Gehalt der Wandfarbe in der gebrauchsfertigen Form (dies gilt z. B. auch für Farbmischsysteme) an schwer flüchtigen organischen Stoffen (SVOC, </w:t>
            </w:r>
            <w:proofErr w:type="spellStart"/>
            <w:r w:rsidRPr="00AC1BAC">
              <w:t>Semi</w:t>
            </w:r>
            <w:proofErr w:type="spellEnd"/>
            <w:r w:rsidRPr="00AC1BAC">
              <w:t xml:space="preserve"> Volatile </w:t>
            </w:r>
            <w:proofErr w:type="spellStart"/>
            <w:r w:rsidRPr="00AC1BAC">
              <w:t>Organic</w:t>
            </w:r>
            <w:proofErr w:type="spellEnd"/>
            <w:r w:rsidRPr="00AC1BAC">
              <w:t xml:space="preserve"> </w:t>
            </w:r>
            <w:proofErr w:type="spellStart"/>
            <w:r w:rsidRPr="00AC1BAC">
              <w:t>Compounds</w:t>
            </w:r>
            <w:proofErr w:type="spellEnd"/>
            <w:r w:rsidRPr="00AC1BAC">
              <w:t>) darf den Höchstwert von 500 ppm nicht überschreiten.</w:t>
            </w:r>
          </w:p>
        </w:tc>
        <w:tc>
          <w:tcPr>
            <w:tcW w:w="2538" w:type="dxa"/>
            <w:shd w:val="clear" w:color="auto" w:fill="auto"/>
          </w:tcPr>
          <w:p w14:paraId="79F1F7B3" w14:textId="77777777" w:rsidR="001E1C48" w:rsidRPr="00994FEC" w:rsidRDefault="001E1C48" w:rsidP="001243EF">
            <w:pPr>
              <w:pStyle w:val="Tabellentext"/>
            </w:pPr>
            <w:r w:rsidRPr="00994FEC">
              <w:t>Ausschlusskriterium</w:t>
            </w:r>
          </w:p>
          <w:p w14:paraId="52B8877C" w14:textId="482B9BE5" w:rsidR="001E1C48" w:rsidRPr="00994FEC" w:rsidRDefault="001E1C48" w:rsidP="001243EF">
            <w:pPr>
              <w:pStyle w:val="Tabellentext"/>
            </w:pPr>
            <w:r w:rsidRPr="00994FEC">
              <w:t xml:space="preserve">Nachweis durch </w:t>
            </w:r>
            <w:r w:rsidR="00AC1BAC" w:rsidRPr="00AC1BAC">
              <w:t xml:space="preserve">Vorlage des Prüfprotokolls für den SVOC-Gehalt des gebrauchsfertigen Produkts nach der Methode in ISO 11890-2 / CEPE </w:t>
            </w:r>
            <w:proofErr w:type="spellStart"/>
            <w:r w:rsidR="00AC1BAC" w:rsidRPr="00AC1BAC">
              <w:t>guidance</w:t>
            </w:r>
            <w:proofErr w:type="spellEnd"/>
            <w:r w:rsidR="00AC1BAC" w:rsidRPr="00AC1BAC">
              <w:t xml:space="preserve"> 2015-10-26. Hierzu ist die Zertifizierungsurkunde oder Akkreditierungsurkunde des Deutschen Akkreditierungsrates (DAR) oder eines anderen Akkreditierungssystems, das in das multinationale Agreement (MLA) aufgenommen ist, vorzulegen.</w:t>
            </w:r>
          </w:p>
        </w:tc>
        <w:tc>
          <w:tcPr>
            <w:tcW w:w="1692" w:type="dxa"/>
            <w:shd w:val="clear" w:color="auto" w:fill="auto"/>
            <w:vAlign w:val="center"/>
          </w:tcPr>
          <w:p w14:paraId="0C328AD3" w14:textId="77777777" w:rsidR="001E1C48" w:rsidRPr="005B05B8" w:rsidRDefault="001E1C48" w:rsidP="003A390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D7AAF">
              <w:rPr>
                <w:rFonts w:ascii="Meta Offc" w:hAnsi="Meta Offc" w:cs="Meta Offc"/>
                <w:sz w:val="18"/>
                <w:szCs w:val="18"/>
              </w:rPr>
            </w:r>
            <w:r w:rsidR="00CD7AAF">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64C529E" w14:textId="77777777" w:rsidR="00AC1BAC" w:rsidRDefault="00AC1BAC"/>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1E1C48" w:rsidRPr="004C4B67" w14:paraId="1F2A9104" w14:textId="77777777" w:rsidTr="003A3900">
        <w:trPr>
          <w:trHeight w:val="284"/>
          <w:tblHeader/>
        </w:trPr>
        <w:tc>
          <w:tcPr>
            <w:tcW w:w="5409" w:type="dxa"/>
            <w:shd w:val="clear" w:color="auto" w:fill="D9D9D9"/>
            <w:vAlign w:val="center"/>
          </w:tcPr>
          <w:p w14:paraId="66F95264" w14:textId="38D0DF94" w:rsidR="001E1C48" w:rsidRDefault="00AC1BAC" w:rsidP="001243EF">
            <w:pPr>
              <w:pStyle w:val="Tabellentext"/>
            </w:pPr>
            <w:r w:rsidRPr="00AC1BAC">
              <w:t>5</w:t>
            </w:r>
            <w:r w:rsidRPr="00AC1BAC">
              <w:tab/>
              <w:t>Konservierung</w:t>
            </w:r>
          </w:p>
        </w:tc>
        <w:tc>
          <w:tcPr>
            <w:tcW w:w="2538" w:type="dxa"/>
            <w:shd w:val="clear" w:color="auto" w:fill="D9D9D9"/>
          </w:tcPr>
          <w:p w14:paraId="05DAC2DD" w14:textId="77777777" w:rsidR="001E1C48" w:rsidRPr="00994FEC" w:rsidRDefault="001E1C48" w:rsidP="001243EF">
            <w:pPr>
              <w:pStyle w:val="Tabellentext"/>
            </w:pPr>
          </w:p>
        </w:tc>
        <w:tc>
          <w:tcPr>
            <w:tcW w:w="1692" w:type="dxa"/>
            <w:shd w:val="clear" w:color="auto" w:fill="D9D9D9"/>
            <w:vAlign w:val="center"/>
          </w:tcPr>
          <w:p w14:paraId="3472476B" w14:textId="77777777" w:rsidR="001E1C48" w:rsidRPr="005B05B8" w:rsidRDefault="001E1C48" w:rsidP="001243EF">
            <w:pPr>
              <w:pStyle w:val="Tabellentext"/>
            </w:pPr>
          </w:p>
        </w:tc>
      </w:tr>
      <w:tr w:rsidR="001E1C48" w:rsidRPr="004C4B67" w14:paraId="06293534" w14:textId="77777777" w:rsidTr="003A3900">
        <w:trPr>
          <w:trHeight w:val="284"/>
          <w:tblHeader/>
        </w:trPr>
        <w:tc>
          <w:tcPr>
            <w:tcW w:w="5409" w:type="dxa"/>
            <w:shd w:val="clear" w:color="auto" w:fill="auto"/>
          </w:tcPr>
          <w:p w14:paraId="07C8C31C" w14:textId="289C2F80" w:rsidR="00792BA5" w:rsidRDefault="00792BA5" w:rsidP="001243EF">
            <w:pPr>
              <w:pStyle w:val="Tabellentext"/>
            </w:pPr>
            <w:r>
              <w:t>In Wandfarben und Farbmischsystemen ist der Einsatz von Topf- und Filmkonservierungsmitteln nicht zulässig</w:t>
            </w:r>
            <w:r w:rsidR="00704810">
              <w:rPr>
                <w:rStyle w:val="Funotenzeichen"/>
              </w:rPr>
              <w:footnoteReference w:id="6"/>
            </w:r>
            <w:r>
              <w:t>.</w:t>
            </w:r>
          </w:p>
          <w:p w14:paraId="3BF1AC64" w14:textId="77777777" w:rsidR="00792BA5" w:rsidRDefault="00792BA5" w:rsidP="001243EF">
            <w:pPr>
              <w:pStyle w:val="Tabellentext"/>
            </w:pPr>
            <w:r>
              <w:t xml:space="preserve">Der Gehalt an </w:t>
            </w:r>
            <w:proofErr w:type="spellStart"/>
            <w:r>
              <w:t>Isothiazolinonen</w:t>
            </w:r>
            <w:proofErr w:type="spellEnd"/>
            <w:r>
              <w:t xml:space="preserve"> von Wandfarben und Farbmischsystemen in der gebrauchsfertigen Form darf im Einzelnen einen Maximalgehalt von:</w:t>
            </w:r>
          </w:p>
          <w:p w14:paraId="416F5109" w14:textId="575B466E" w:rsidR="00792BA5" w:rsidRDefault="00792BA5" w:rsidP="00792BA5">
            <w:pPr>
              <w:pStyle w:val="Aufzhlung"/>
            </w:pPr>
            <w:r>
              <w:t>BIT ≤ 10 ppm</w:t>
            </w:r>
          </w:p>
          <w:p w14:paraId="66849338" w14:textId="02FFFEB1" w:rsidR="00792BA5" w:rsidRDefault="00792BA5" w:rsidP="00792BA5">
            <w:pPr>
              <w:pStyle w:val="Aufzhlung"/>
            </w:pPr>
            <w:r>
              <w:t>MIT &lt; 1,5 ppm</w:t>
            </w:r>
          </w:p>
          <w:p w14:paraId="0710BA17" w14:textId="26172A76" w:rsidR="00792BA5" w:rsidRDefault="00792BA5" w:rsidP="00792BA5">
            <w:pPr>
              <w:pStyle w:val="Aufzhlung"/>
            </w:pPr>
            <w:r>
              <w:t>CIT &lt; 0,5 ppm</w:t>
            </w:r>
          </w:p>
          <w:p w14:paraId="27BFC9AA" w14:textId="52B0354F" w:rsidR="00792BA5" w:rsidRDefault="00792BA5" w:rsidP="00792BA5">
            <w:pPr>
              <w:pStyle w:val="Aufzhlung"/>
            </w:pPr>
            <w:r>
              <w:t xml:space="preserve">alle anderen </w:t>
            </w:r>
            <w:proofErr w:type="spellStart"/>
            <w:r>
              <w:t>Isothiazolinone</w:t>
            </w:r>
            <w:proofErr w:type="spellEnd"/>
            <w:r>
              <w:t xml:space="preserve"> &lt; 2 ppm bezogen auf die Einzelsubstanz </w:t>
            </w:r>
          </w:p>
          <w:p w14:paraId="03A85946" w14:textId="2C778403" w:rsidR="00792BA5" w:rsidRDefault="00792BA5" w:rsidP="00792BA5">
            <w:pPr>
              <w:pStyle w:val="Aufzhlung"/>
            </w:pPr>
            <w:r>
              <w:t>freies Formaldehyd &lt; 10 ppm</w:t>
            </w:r>
          </w:p>
          <w:p w14:paraId="6C759616" w14:textId="77777777" w:rsidR="00792BA5" w:rsidRDefault="00792BA5" w:rsidP="001243EF">
            <w:pPr>
              <w:pStyle w:val="Tabellentext"/>
            </w:pPr>
            <w:r>
              <w:t>nicht überschreiten.</w:t>
            </w:r>
          </w:p>
          <w:p w14:paraId="760BCB04" w14:textId="77777777" w:rsidR="00792BA5" w:rsidRDefault="00792BA5" w:rsidP="001243EF">
            <w:pPr>
              <w:pStyle w:val="Tabellentext"/>
            </w:pPr>
            <w:r>
              <w:t xml:space="preserve">Die Konservierung der Vorprodukte ist so zu gestalten, dass die Konservierung dieser im Endprodukt keine konservierende Wirkung hat. Diese Wandfarben sind mit „Kann Spuren von Konservierungsmitteln enthalten“ auf dem Gebinde und dem Technischen Merkblatt zu kennzeichnen. </w:t>
            </w:r>
          </w:p>
          <w:p w14:paraId="3F0A0252" w14:textId="3D785090" w:rsidR="001E1C48" w:rsidRDefault="00792BA5" w:rsidP="001243EF">
            <w:pPr>
              <w:pStyle w:val="Tabellentext"/>
            </w:pPr>
            <w:r>
              <w:t>Wird das Produkt Wandfarbe als konservierungsmittelfrei ausgelobt, sind alle Konservierungsmittel auf die Einzelsubstanz bezogen einschließlich Formaldehyd begrenzt auf 2 ppm, außer CIT &lt; 0,5 ppm und MIT &lt; 1,5 ppm.</w:t>
            </w:r>
          </w:p>
        </w:tc>
        <w:tc>
          <w:tcPr>
            <w:tcW w:w="2538" w:type="dxa"/>
            <w:shd w:val="clear" w:color="auto" w:fill="auto"/>
          </w:tcPr>
          <w:p w14:paraId="7E07E2A5" w14:textId="229D5A0F" w:rsidR="001E1C48" w:rsidRPr="00994FEC" w:rsidRDefault="001E1C48" w:rsidP="001243EF">
            <w:pPr>
              <w:pStyle w:val="Tabellentext"/>
            </w:pPr>
            <w:r w:rsidRPr="00994FEC">
              <w:t>Ausschlusskriterium</w:t>
            </w:r>
          </w:p>
          <w:p w14:paraId="0F8ED280" w14:textId="33AC5BD9" w:rsidR="001E1C48" w:rsidRPr="00994FEC" w:rsidRDefault="001E1C48" w:rsidP="001243EF">
            <w:pPr>
              <w:pStyle w:val="Tabellentext"/>
            </w:pPr>
            <w:r w:rsidRPr="00994FEC">
              <w:t xml:space="preserve">Nachweis durch </w:t>
            </w:r>
            <w:r w:rsidR="00AC1BAC" w:rsidRPr="00AC1BAC">
              <w:t xml:space="preserve">Vorlage der analytischen Nachweise gemäß Anhang B für die </w:t>
            </w:r>
            <w:proofErr w:type="spellStart"/>
            <w:r w:rsidR="00AC1BAC" w:rsidRPr="00AC1BAC">
              <w:t>Isothiazolinone</w:t>
            </w:r>
            <w:proofErr w:type="spellEnd"/>
            <w:r w:rsidR="00AC1BAC" w:rsidRPr="00AC1BAC">
              <w:t xml:space="preserve"> und Formaldehyd. Die verschlossene Probe darf zum Zeitpunkt der Prüfung nicht älter als 20 Tage bei Raumtemperatur gelagert. sein. Für die Einhaltung der Kriterien sind zudem Erklärungen der Hersteller bzw. Vertreiber der verwendeten Vorprodukte vorzulegen.</w:t>
            </w:r>
          </w:p>
        </w:tc>
        <w:tc>
          <w:tcPr>
            <w:tcW w:w="1692" w:type="dxa"/>
            <w:shd w:val="clear" w:color="auto" w:fill="auto"/>
            <w:vAlign w:val="center"/>
          </w:tcPr>
          <w:p w14:paraId="752E2408" w14:textId="77777777" w:rsidR="001E1C48" w:rsidRPr="005B05B8" w:rsidRDefault="001E1C48" w:rsidP="003A390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D7AAF">
              <w:rPr>
                <w:rFonts w:ascii="Meta Offc" w:hAnsi="Meta Offc" w:cs="Meta Offc"/>
                <w:sz w:val="18"/>
                <w:szCs w:val="18"/>
              </w:rPr>
            </w:r>
            <w:r w:rsidR="00CD7AAF">
              <w:rPr>
                <w:rFonts w:ascii="Meta Offc" w:hAnsi="Meta Offc" w:cs="Meta Offc"/>
                <w:sz w:val="18"/>
                <w:szCs w:val="18"/>
              </w:rPr>
              <w:fldChar w:fldCharType="separate"/>
            </w:r>
            <w:r w:rsidRPr="005B05B8">
              <w:rPr>
                <w:rFonts w:ascii="Meta Offc" w:hAnsi="Meta Offc" w:cs="Meta Offc"/>
                <w:sz w:val="18"/>
                <w:szCs w:val="18"/>
              </w:rPr>
              <w:fldChar w:fldCharType="end"/>
            </w:r>
          </w:p>
        </w:tc>
      </w:tr>
      <w:tr w:rsidR="001E1C48" w:rsidRPr="004C4B67" w14:paraId="25004F1C" w14:textId="77777777" w:rsidTr="003A3900">
        <w:trPr>
          <w:trHeight w:val="284"/>
          <w:tblHeader/>
        </w:trPr>
        <w:tc>
          <w:tcPr>
            <w:tcW w:w="5409" w:type="dxa"/>
            <w:shd w:val="clear" w:color="auto" w:fill="D9D9D9"/>
            <w:vAlign w:val="center"/>
          </w:tcPr>
          <w:p w14:paraId="75EACDC0" w14:textId="2F5F69BB" w:rsidR="001E1C48" w:rsidRDefault="00792BA5" w:rsidP="001243EF">
            <w:pPr>
              <w:pStyle w:val="Tabellentext"/>
            </w:pPr>
            <w:r w:rsidRPr="00792BA5">
              <w:t>6</w:t>
            </w:r>
            <w:r w:rsidRPr="00792BA5">
              <w:tab/>
              <w:t>Titandioxid als Pigment</w:t>
            </w:r>
          </w:p>
        </w:tc>
        <w:tc>
          <w:tcPr>
            <w:tcW w:w="2538" w:type="dxa"/>
            <w:shd w:val="clear" w:color="auto" w:fill="D9D9D9"/>
            <w:vAlign w:val="center"/>
          </w:tcPr>
          <w:p w14:paraId="4BE431FD" w14:textId="77777777" w:rsidR="001E1C48" w:rsidRPr="00994FEC" w:rsidRDefault="001E1C48" w:rsidP="001243EF">
            <w:pPr>
              <w:pStyle w:val="Tabellentext"/>
            </w:pPr>
          </w:p>
        </w:tc>
        <w:tc>
          <w:tcPr>
            <w:tcW w:w="1692" w:type="dxa"/>
            <w:shd w:val="clear" w:color="auto" w:fill="D9D9D9"/>
            <w:vAlign w:val="center"/>
          </w:tcPr>
          <w:p w14:paraId="0C5E9ED7" w14:textId="77777777" w:rsidR="001E1C48" w:rsidRPr="00994FEC" w:rsidRDefault="001E1C48" w:rsidP="001243EF">
            <w:pPr>
              <w:pStyle w:val="Tabellentext"/>
            </w:pPr>
          </w:p>
        </w:tc>
      </w:tr>
      <w:tr w:rsidR="001E1C48" w:rsidRPr="004C4B67" w14:paraId="4DA84808" w14:textId="77777777" w:rsidTr="003A3900">
        <w:trPr>
          <w:trHeight w:val="284"/>
          <w:tblHeader/>
        </w:trPr>
        <w:tc>
          <w:tcPr>
            <w:tcW w:w="5409" w:type="dxa"/>
            <w:shd w:val="clear" w:color="auto" w:fill="auto"/>
          </w:tcPr>
          <w:p w14:paraId="76477C75" w14:textId="77777777" w:rsidR="00792BA5" w:rsidRDefault="00792BA5" w:rsidP="001243EF">
            <w:pPr>
              <w:pStyle w:val="Tabellentext"/>
            </w:pPr>
            <w:r>
              <w:t>Die Emissionen und Abfälle, die bei der Herstellung von Titandioxidpigmenten anfallen, dürfen die folgenden Werte nicht übersteigen:</w:t>
            </w:r>
          </w:p>
          <w:p w14:paraId="2F7E9BE7" w14:textId="77777777" w:rsidR="00792BA5" w:rsidRDefault="00792BA5" w:rsidP="001243EF">
            <w:pPr>
              <w:pStyle w:val="Tabellentext"/>
            </w:pPr>
            <w:r>
              <w:t>Für das Sulfatverfahren:</w:t>
            </w:r>
          </w:p>
          <w:p w14:paraId="272FA916" w14:textId="52D11258" w:rsidR="00792BA5" w:rsidRDefault="00792BA5" w:rsidP="00792BA5">
            <w:pPr>
              <w:pStyle w:val="Aufzhlung"/>
            </w:pPr>
            <w:proofErr w:type="spellStart"/>
            <w:r>
              <w:t>SO</w:t>
            </w:r>
            <w:r w:rsidRPr="00792BA5">
              <w:rPr>
                <w:vertAlign w:val="subscript"/>
              </w:rPr>
              <w:t>x</w:t>
            </w:r>
            <w:proofErr w:type="spellEnd"/>
            <w:r>
              <w:t xml:space="preserve"> berechnet als SO</w:t>
            </w:r>
            <w:r w:rsidRPr="00792BA5">
              <w:rPr>
                <w:vertAlign w:val="subscript"/>
              </w:rPr>
              <w:t>2</w:t>
            </w:r>
            <w:r>
              <w:t>: 7,0 kg/t TiO</w:t>
            </w:r>
            <w:r w:rsidRPr="00792BA5">
              <w:rPr>
                <w:vertAlign w:val="subscript"/>
              </w:rPr>
              <w:t>2</w:t>
            </w:r>
            <w:r>
              <w:t>-Pigment</w:t>
            </w:r>
          </w:p>
          <w:p w14:paraId="6A76855C" w14:textId="232B328D" w:rsidR="00792BA5" w:rsidRDefault="00792BA5" w:rsidP="00792BA5">
            <w:pPr>
              <w:pStyle w:val="Aufzhlung"/>
            </w:pPr>
            <w:r>
              <w:t>Schwefelablauge: 500 kg/t TiO</w:t>
            </w:r>
            <w:r w:rsidRPr="00792BA5">
              <w:rPr>
                <w:vertAlign w:val="subscript"/>
              </w:rPr>
              <w:t>2</w:t>
            </w:r>
            <w:r>
              <w:t>-Pigment</w:t>
            </w:r>
          </w:p>
          <w:p w14:paraId="5FE7087D" w14:textId="77777777" w:rsidR="00792BA5" w:rsidRDefault="00792BA5" w:rsidP="001243EF">
            <w:pPr>
              <w:pStyle w:val="Tabellentext"/>
            </w:pPr>
            <w:r>
              <w:t>Für das Chlorverfahren:</w:t>
            </w:r>
          </w:p>
          <w:p w14:paraId="3D3D9D18" w14:textId="49E7C68E" w:rsidR="00792BA5" w:rsidRDefault="00792BA5" w:rsidP="00792BA5">
            <w:pPr>
              <w:pStyle w:val="Aufzhlung"/>
            </w:pPr>
            <w:r>
              <w:t xml:space="preserve">Wird natürliches </w:t>
            </w:r>
            <w:proofErr w:type="spellStart"/>
            <w:r>
              <w:t>Rutilerz</w:t>
            </w:r>
            <w:proofErr w:type="spellEnd"/>
            <w:r>
              <w:t xml:space="preserve"> verwendet, 103 kg Chlorabfälle/t TiO</w:t>
            </w:r>
            <w:r w:rsidRPr="00792BA5">
              <w:rPr>
                <w:vertAlign w:val="subscript"/>
              </w:rPr>
              <w:t>2</w:t>
            </w:r>
            <w:r>
              <w:t>-Pigment</w:t>
            </w:r>
          </w:p>
          <w:p w14:paraId="7FC07AF4" w14:textId="63E54D8A" w:rsidR="00792BA5" w:rsidRDefault="00792BA5" w:rsidP="00792BA5">
            <w:pPr>
              <w:pStyle w:val="Aufzhlung"/>
            </w:pPr>
            <w:r>
              <w:t xml:space="preserve">Wird synthetisches </w:t>
            </w:r>
            <w:proofErr w:type="spellStart"/>
            <w:r>
              <w:t>Rutilerz</w:t>
            </w:r>
            <w:proofErr w:type="spellEnd"/>
            <w:r>
              <w:t xml:space="preserve"> verwendet: 179 kg Chlorabfälle/t TiO</w:t>
            </w:r>
            <w:r w:rsidRPr="00792BA5">
              <w:rPr>
                <w:vertAlign w:val="subscript"/>
              </w:rPr>
              <w:t>2</w:t>
            </w:r>
            <w:r>
              <w:t>-Pigment</w:t>
            </w:r>
          </w:p>
          <w:p w14:paraId="1639EFA9" w14:textId="1C440285" w:rsidR="00792BA5" w:rsidRDefault="00792BA5" w:rsidP="00792BA5">
            <w:pPr>
              <w:pStyle w:val="Aufzhlung"/>
            </w:pPr>
            <w:r>
              <w:t>Werden Schlackenerze verwendet: 329 kg Chlorabfälle/t TiO</w:t>
            </w:r>
            <w:r w:rsidRPr="00792BA5">
              <w:rPr>
                <w:vertAlign w:val="subscript"/>
              </w:rPr>
              <w:t>2</w:t>
            </w:r>
            <w:r>
              <w:t>-Pigment</w:t>
            </w:r>
          </w:p>
          <w:p w14:paraId="47ABD42D" w14:textId="77777777" w:rsidR="00792BA5" w:rsidRDefault="00792BA5" w:rsidP="001243EF">
            <w:pPr>
              <w:pStyle w:val="Tabellentext"/>
            </w:pPr>
            <w:r>
              <w:t xml:space="preserve">Wird mehr als eine Sorte Erz verwendet, finden die Werte im Verhältnis zur Menge der einzelnen verwendeten </w:t>
            </w:r>
            <w:proofErr w:type="spellStart"/>
            <w:r>
              <w:t>Erzarten</w:t>
            </w:r>
            <w:proofErr w:type="spellEnd"/>
            <w:r>
              <w:t xml:space="preserve"> Anwendung.</w:t>
            </w:r>
          </w:p>
          <w:p w14:paraId="17E7B712" w14:textId="25F79B84" w:rsidR="001E1C48" w:rsidRDefault="00792BA5" w:rsidP="001243EF">
            <w:pPr>
              <w:pStyle w:val="Tabellentext"/>
            </w:pPr>
            <w:r>
              <w:t xml:space="preserve">Hinweis: </w:t>
            </w:r>
            <w:proofErr w:type="spellStart"/>
            <w:r>
              <w:t>SO</w:t>
            </w:r>
            <w:r w:rsidRPr="00792BA5">
              <w:rPr>
                <w:vertAlign w:val="subscript"/>
              </w:rPr>
              <w:t>x</w:t>
            </w:r>
            <w:proofErr w:type="spellEnd"/>
            <w:r>
              <w:t>-Emissionen gelten nur im Sulfatverfahren. Für die Definition von Abfall gilt Artikel 3 der Abfallrahmenrichtlinie 2008/98/EG des Europäischen Parlaments und des Rates. Kann der TiO</w:t>
            </w:r>
            <w:r w:rsidRPr="00792BA5">
              <w:rPr>
                <w:vertAlign w:val="subscript"/>
              </w:rPr>
              <w:t>2</w:t>
            </w:r>
            <w:r>
              <w:t>-Hersteller Artikel 5 (Herstellung von Nebenprodukten) der Abfallrichtlinie für feste Abfälle entsprechen, werden diese Abfälle ausgenommen.</w:t>
            </w:r>
          </w:p>
        </w:tc>
        <w:tc>
          <w:tcPr>
            <w:tcW w:w="2538" w:type="dxa"/>
            <w:shd w:val="clear" w:color="auto" w:fill="auto"/>
          </w:tcPr>
          <w:p w14:paraId="2F66F579" w14:textId="72234759" w:rsidR="001E1C48" w:rsidRPr="00994FEC" w:rsidRDefault="001E1C48" w:rsidP="001243EF">
            <w:pPr>
              <w:pStyle w:val="Tabellentext"/>
            </w:pPr>
            <w:r w:rsidRPr="00994FEC">
              <w:t>Ausschlusskriterium</w:t>
            </w:r>
          </w:p>
          <w:p w14:paraId="1BE3E4D2" w14:textId="2286E89B" w:rsidR="001E1C48" w:rsidRPr="00994FEC" w:rsidRDefault="001E1C48" w:rsidP="001243EF">
            <w:pPr>
              <w:pStyle w:val="Tabellentext"/>
            </w:pPr>
            <w:r w:rsidRPr="00994FEC">
              <w:t xml:space="preserve">Nachweis durch </w:t>
            </w:r>
            <w:r w:rsidR="00792BA5" w:rsidRPr="00792BA5">
              <w:t>Hersteller</w:t>
            </w:r>
            <w:r w:rsidR="00A52295">
              <w:t>erklärung</w:t>
            </w:r>
          </w:p>
        </w:tc>
        <w:tc>
          <w:tcPr>
            <w:tcW w:w="1692" w:type="dxa"/>
            <w:shd w:val="clear" w:color="auto" w:fill="auto"/>
            <w:vAlign w:val="center"/>
          </w:tcPr>
          <w:p w14:paraId="10CE192B" w14:textId="77777777" w:rsidR="001E1C48" w:rsidRPr="005B05B8" w:rsidRDefault="001E1C48" w:rsidP="003A390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D7AAF">
              <w:rPr>
                <w:rFonts w:ascii="Meta Offc" w:hAnsi="Meta Offc" w:cs="Meta Offc"/>
                <w:sz w:val="18"/>
                <w:szCs w:val="18"/>
              </w:rPr>
            </w:r>
            <w:r w:rsidR="00CD7AAF">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C0F1341" w14:textId="77777777" w:rsidR="00792BA5" w:rsidRDefault="00792BA5"/>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1E1C48" w:rsidRPr="004C4B67" w14:paraId="2E8846E4" w14:textId="77777777" w:rsidTr="003A3900">
        <w:trPr>
          <w:trHeight w:val="185"/>
          <w:tblHeader/>
        </w:trPr>
        <w:tc>
          <w:tcPr>
            <w:tcW w:w="5409" w:type="dxa"/>
            <w:shd w:val="clear" w:color="auto" w:fill="D9D9D9"/>
            <w:vAlign w:val="center"/>
          </w:tcPr>
          <w:p w14:paraId="4BE04AB3" w14:textId="32BAE575" w:rsidR="001E1C48" w:rsidRPr="00994FEC" w:rsidRDefault="00792BA5" w:rsidP="001243EF">
            <w:pPr>
              <w:pStyle w:val="Tabellentext"/>
            </w:pPr>
            <w:r w:rsidRPr="00792BA5">
              <w:t>7</w:t>
            </w:r>
            <w:r w:rsidRPr="00792BA5">
              <w:tab/>
              <w:t>Gebrauchstauglichkeit</w:t>
            </w:r>
          </w:p>
        </w:tc>
        <w:tc>
          <w:tcPr>
            <w:tcW w:w="2538" w:type="dxa"/>
            <w:shd w:val="clear" w:color="auto" w:fill="D9D9D9"/>
            <w:vAlign w:val="center"/>
          </w:tcPr>
          <w:p w14:paraId="769E8F2A" w14:textId="77777777" w:rsidR="001E1C48" w:rsidRPr="00994FEC" w:rsidRDefault="001E1C48" w:rsidP="001243EF">
            <w:pPr>
              <w:pStyle w:val="Tabellentext"/>
            </w:pPr>
          </w:p>
        </w:tc>
        <w:tc>
          <w:tcPr>
            <w:tcW w:w="1692" w:type="dxa"/>
            <w:shd w:val="clear" w:color="auto" w:fill="D9D9D9"/>
            <w:vAlign w:val="center"/>
          </w:tcPr>
          <w:p w14:paraId="3BE72BCE" w14:textId="77777777" w:rsidR="001E1C48" w:rsidRPr="00994FEC" w:rsidRDefault="001E1C48" w:rsidP="001243EF">
            <w:pPr>
              <w:pStyle w:val="Tabellentext"/>
            </w:pPr>
          </w:p>
        </w:tc>
      </w:tr>
      <w:tr w:rsidR="001E1C48" w:rsidRPr="004C4B67" w14:paraId="3D13A11F" w14:textId="77777777" w:rsidTr="003A3900">
        <w:trPr>
          <w:trHeight w:val="284"/>
          <w:tblHeader/>
        </w:trPr>
        <w:tc>
          <w:tcPr>
            <w:tcW w:w="5409" w:type="dxa"/>
            <w:shd w:val="clear" w:color="auto" w:fill="auto"/>
          </w:tcPr>
          <w:p w14:paraId="3D14767D" w14:textId="5BFEB4CC" w:rsidR="001E1C48" w:rsidRPr="00994FEC" w:rsidRDefault="00792BA5" w:rsidP="001243EF">
            <w:pPr>
              <w:pStyle w:val="Tabellentext"/>
            </w:pPr>
            <w:r w:rsidRPr="00792BA5">
              <w:t>Die Wandfarbe muss den üblichen Qualitätsanforderungen an die Gebrauchstauglichkeit der entsprechenden Produktgruppe (z. B. Haftfestigkeit, Härte, Trocknungsverhalten, Lichtechtheit, Elastizität, ggf., Oberflächenbeständigkeit gegen Haushaltschemikalien, Nassabrieb gemäß bestehenden DIN-Normen) entsprechen. Die ausgelobte Reichweite darf nicht ≥ 1 m</w:t>
            </w:r>
            <w:r w:rsidRPr="00792BA5">
              <w:rPr>
                <w:vertAlign w:val="superscript"/>
              </w:rPr>
              <w:t>2</w:t>
            </w:r>
            <w:r w:rsidRPr="00792BA5">
              <w:t xml:space="preserve">/l über der Angabe liegen, die für das Deckvermögen ausgelobt wurde. Die Reichweite </w:t>
            </w:r>
            <w:proofErr w:type="spellStart"/>
            <w:r w:rsidRPr="00792BA5">
              <w:t>Nassabriebsklasse</w:t>
            </w:r>
            <w:proofErr w:type="spellEnd"/>
            <w:r w:rsidRPr="00792BA5">
              <w:t xml:space="preserve"> und Deckvermögen der Wandfarbe sind auf dem Gebinde auszuloben.</w:t>
            </w:r>
          </w:p>
        </w:tc>
        <w:tc>
          <w:tcPr>
            <w:tcW w:w="2538" w:type="dxa"/>
            <w:shd w:val="clear" w:color="auto" w:fill="auto"/>
          </w:tcPr>
          <w:p w14:paraId="55127532" w14:textId="77777777" w:rsidR="001E1C48" w:rsidRPr="00994FEC" w:rsidRDefault="001E1C48" w:rsidP="001243EF">
            <w:pPr>
              <w:pStyle w:val="Tabellentext"/>
            </w:pPr>
            <w:r w:rsidRPr="00994FEC">
              <w:t>Ausschlusskriterium</w:t>
            </w:r>
          </w:p>
          <w:p w14:paraId="4026EC8F" w14:textId="7EA0DB6E" w:rsidR="001E1C48" w:rsidRPr="00994FEC" w:rsidRDefault="001E1C48" w:rsidP="001243EF">
            <w:pPr>
              <w:pStyle w:val="Tabellentext"/>
            </w:pPr>
            <w:r w:rsidRPr="00994FEC">
              <w:t xml:space="preserve">Nachweis durch </w:t>
            </w:r>
            <w:r w:rsidR="00792BA5" w:rsidRPr="00792BA5">
              <w:t xml:space="preserve">Herstellererklärung und Vorlage des entsprechenden technischen Merkblatts und des </w:t>
            </w:r>
            <w:proofErr w:type="spellStart"/>
            <w:r w:rsidR="00792BA5" w:rsidRPr="00792BA5">
              <w:t>Gebindetextes</w:t>
            </w:r>
            <w:proofErr w:type="spellEnd"/>
          </w:p>
        </w:tc>
        <w:tc>
          <w:tcPr>
            <w:tcW w:w="1692" w:type="dxa"/>
            <w:shd w:val="clear" w:color="auto" w:fill="auto"/>
            <w:vAlign w:val="center"/>
          </w:tcPr>
          <w:p w14:paraId="304E0B48" w14:textId="77777777" w:rsidR="001E1C48" w:rsidRPr="005B05B8" w:rsidRDefault="001E1C48" w:rsidP="003A390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D7AAF">
              <w:rPr>
                <w:rFonts w:ascii="Meta Offc" w:hAnsi="Meta Offc" w:cs="Meta Offc"/>
                <w:sz w:val="18"/>
                <w:szCs w:val="18"/>
              </w:rPr>
            </w:r>
            <w:r w:rsidR="00CD7AAF">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F724A67" w14:textId="1D76D085" w:rsidR="00792BA5" w:rsidRDefault="00792BA5" w:rsidP="00DC6B8F">
      <w:pPr>
        <w:pStyle w:val="Textkrper"/>
      </w:pPr>
    </w:p>
    <w:p w14:paraId="722A389C" w14:textId="77777777" w:rsidR="00792BA5" w:rsidRDefault="00792BA5">
      <w:pPr>
        <w:spacing w:after="0"/>
        <w:rPr>
          <w:rFonts w:ascii="Calibri" w:hAnsi="Calibri"/>
          <w:sz w:val="20"/>
        </w:rPr>
      </w:pPr>
      <w:r>
        <w:br w:type="page"/>
      </w:r>
    </w:p>
    <w:p w14:paraId="5E8EC15E" w14:textId="37A0C2C1" w:rsidR="00792BA5" w:rsidRDefault="00792BA5" w:rsidP="002B12C5">
      <w:pPr>
        <w:pStyle w:val="berschrift1"/>
      </w:pPr>
      <w:r>
        <w:t>A</w:t>
      </w:r>
      <w:r>
        <w:tab/>
        <w:t xml:space="preserve">Anhang: Zuordnung von Gefahrenkategorien und </w:t>
      </w:r>
      <w:r w:rsidR="002B12C5">
        <w:br/>
      </w:r>
      <w:r>
        <w:t>Gefahrenhinweisen</w:t>
      </w:r>
    </w:p>
    <w:p w14:paraId="272DA745" w14:textId="56462704" w:rsidR="00FA4D2B" w:rsidRDefault="00792BA5" w:rsidP="00792BA5">
      <w:pPr>
        <w:pStyle w:val="Textkrper"/>
      </w:pPr>
      <w:r>
        <w:t xml:space="preserve">Folgende Tabelle ordnet den </w:t>
      </w:r>
      <w:r w:rsidR="00A66585">
        <w:t>unter Kriterium 1</w:t>
      </w:r>
      <w:r>
        <w:t xml:space="preserve"> genannten Gefahrenkategorien die entsprechenden Gefahrenhinweise (H-Sätze) gemäß CLP-Verordnung (EG) Nr. 1272/2008 zu.</w:t>
      </w:r>
    </w:p>
    <w:tbl>
      <w:tblPr>
        <w:tblStyle w:val="UBATabellemitKopf"/>
        <w:tblW w:w="0" w:type="auto"/>
        <w:tblLook w:val="04A0" w:firstRow="1" w:lastRow="0" w:firstColumn="1" w:lastColumn="0" w:noHBand="0" w:noVBand="1"/>
      </w:tblPr>
      <w:tblGrid>
        <w:gridCol w:w="2164"/>
        <w:gridCol w:w="1640"/>
        <w:gridCol w:w="5153"/>
      </w:tblGrid>
      <w:tr w:rsidR="00792BA5" w:rsidRPr="00290EAC" w14:paraId="07C09E3E" w14:textId="77777777" w:rsidTr="001243EF">
        <w:trPr>
          <w:cnfStyle w:val="100000000000" w:firstRow="1" w:lastRow="0" w:firstColumn="0" w:lastColumn="0" w:oddVBand="0" w:evenVBand="0" w:oddHBand="0" w:evenHBand="0" w:firstRowFirstColumn="0" w:firstRowLastColumn="0" w:lastRowFirstColumn="0" w:lastRowLastColumn="0"/>
          <w:trHeight w:val="545"/>
          <w:tblHeader/>
        </w:trPr>
        <w:tc>
          <w:tcPr>
            <w:tcW w:w="2164" w:type="dxa"/>
            <w:shd w:val="clear" w:color="auto" w:fill="92D050"/>
            <w:vAlign w:val="center"/>
          </w:tcPr>
          <w:p w14:paraId="289DA3DB" w14:textId="77777777" w:rsidR="00792BA5" w:rsidRPr="00290EAC" w:rsidRDefault="00792BA5" w:rsidP="001243EF">
            <w:pPr>
              <w:pStyle w:val="Tabellentextfett"/>
            </w:pPr>
            <w:r w:rsidRPr="00290EAC">
              <w:t>Gefahrenkategorie</w:t>
            </w:r>
          </w:p>
        </w:tc>
        <w:tc>
          <w:tcPr>
            <w:tcW w:w="1640" w:type="dxa"/>
            <w:shd w:val="clear" w:color="auto" w:fill="92D050"/>
            <w:vAlign w:val="center"/>
          </w:tcPr>
          <w:p w14:paraId="42A3BF42" w14:textId="77777777" w:rsidR="00792BA5" w:rsidRPr="00290EAC" w:rsidRDefault="00792BA5" w:rsidP="001243EF">
            <w:pPr>
              <w:pStyle w:val="Tabellentextfett"/>
            </w:pPr>
            <w:r w:rsidRPr="00290EAC">
              <w:t>H-Sätze</w:t>
            </w:r>
          </w:p>
        </w:tc>
        <w:tc>
          <w:tcPr>
            <w:tcW w:w="5153" w:type="dxa"/>
            <w:shd w:val="clear" w:color="auto" w:fill="92D050"/>
            <w:vAlign w:val="center"/>
          </w:tcPr>
          <w:p w14:paraId="1EED1162" w14:textId="77777777" w:rsidR="00792BA5" w:rsidRPr="00290EAC" w:rsidRDefault="00792BA5" w:rsidP="001243EF">
            <w:pPr>
              <w:pStyle w:val="Tabellentextfett"/>
            </w:pPr>
            <w:r w:rsidRPr="00290EAC">
              <w:t>Gefahrenhinweise</w:t>
            </w:r>
          </w:p>
        </w:tc>
      </w:tr>
      <w:tr w:rsidR="00792BA5" w:rsidRPr="00DE279E" w14:paraId="634C9DE9" w14:textId="77777777" w:rsidTr="003A3900">
        <w:trPr>
          <w:cnfStyle w:val="000000100000" w:firstRow="0" w:lastRow="0" w:firstColumn="0" w:lastColumn="0" w:oddVBand="0" w:evenVBand="0" w:oddHBand="1" w:evenHBand="0" w:firstRowFirstColumn="0" w:firstRowLastColumn="0" w:lastRowFirstColumn="0" w:lastRowLastColumn="0"/>
          <w:trHeight w:val="330"/>
        </w:trPr>
        <w:tc>
          <w:tcPr>
            <w:tcW w:w="8957" w:type="dxa"/>
            <w:gridSpan w:val="3"/>
          </w:tcPr>
          <w:p w14:paraId="03836880" w14:textId="77777777" w:rsidR="00792BA5" w:rsidRPr="00DE279E" w:rsidRDefault="00792BA5" w:rsidP="001243EF">
            <w:pPr>
              <w:pStyle w:val="Tabellentextfett"/>
            </w:pPr>
            <w:r w:rsidRPr="00DE279E">
              <w:t>karzinogene (krebserzeugende) Stoffe</w:t>
            </w:r>
          </w:p>
        </w:tc>
      </w:tr>
      <w:tr w:rsidR="00792BA5" w:rsidRPr="00E32126" w14:paraId="0B673765" w14:textId="77777777" w:rsidTr="003A3900">
        <w:trPr>
          <w:trHeight w:val="330"/>
        </w:trPr>
        <w:tc>
          <w:tcPr>
            <w:tcW w:w="2164" w:type="dxa"/>
          </w:tcPr>
          <w:p w14:paraId="0D52E251" w14:textId="77777777" w:rsidR="00792BA5" w:rsidRPr="00E32126" w:rsidRDefault="00792BA5" w:rsidP="001243EF">
            <w:pPr>
              <w:pStyle w:val="Tabellentext"/>
            </w:pPr>
            <w:proofErr w:type="spellStart"/>
            <w:r>
              <w:t>Carc</w:t>
            </w:r>
            <w:proofErr w:type="spellEnd"/>
            <w:r>
              <w:t>. 1A</w:t>
            </w:r>
          </w:p>
        </w:tc>
        <w:tc>
          <w:tcPr>
            <w:tcW w:w="1640" w:type="dxa"/>
          </w:tcPr>
          <w:p w14:paraId="3FC0FBC4" w14:textId="77777777" w:rsidR="00792BA5" w:rsidRPr="00E32126" w:rsidRDefault="00792BA5" w:rsidP="001243EF">
            <w:pPr>
              <w:pStyle w:val="Tabellentext"/>
            </w:pPr>
            <w:r>
              <w:t>H350</w:t>
            </w:r>
          </w:p>
        </w:tc>
        <w:tc>
          <w:tcPr>
            <w:tcW w:w="5153" w:type="dxa"/>
          </w:tcPr>
          <w:p w14:paraId="69876CD6" w14:textId="77777777" w:rsidR="00792BA5" w:rsidRPr="00E32126" w:rsidRDefault="00792BA5" w:rsidP="001243EF">
            <w:pPr>
              <w:pStyle w:val="Tabellentext"/>
            </w:pPr>
            <w:r>
              <w:t>Kann Krebs erzeugen.</w:t>
            </w:r>
          </w:p>
        </w:tc>
      </w:tr>
      <w:tr w:rsidR="00792BA5" w:rsidRPr="00E32126" w14:paraId="1C2A1534" w14:textId="77777777" w:rsidTr="003A3900">
        <w:trPr>
          <w:cnfStyle w:val="000000100000" w:firstRow="0" w:lastRow="0" w:firstColumn="0" w:lastColumn="0" w:oddVBand="0" w:evenVBand="0" w:oddHBand="1" w:evenHBand="0" w:firstRowFirstColumn="0" w:firstRowLastColumn="0" w:lastRowFirstColumn="0" w:lastRowLastColumn="0"/>
          <w:trHeight w:val="330"/>
        </w:trPr>
        <w:tc>
          <w:tcPr>
            <w:tcW w:w="2164" w:type="dxa"/>
          </w:tcPr>
          <w:p w14:paraId="11C4D584" w14:textId="77777777" w:rsidR="00792BA5" w:rsidRPr="00E32126" w:rsidRDefault="00792BA5" w:rsidP="001243EF">
            <w:pPr>
              <w:pStyle w:val="Tabellentext"/>
            </w:pPr>
            <w:proofErr w:type="spellStart"/>
            <w:r>
              <w:t>Carc</w:t>
            </w:r>
            <w:proofErr w:type="spellEnd"/>
            <w:r>
              <w:t>. 1B</w:t>
            </w:r>
          </w:p>
        </w:tc>
        <w:tc>
          <w:tcPr>
            <w:tcW w:w="1640" w:type="dxa"/>
          </w:tcPr>
          <w:p w14:paraId="473FE8CB" w14:textId="77777777" w:rsidR="00792BA5" w:rsidRPr="00E32126" w:rsidRDefault="00792BA5" w:rsidP="001243EF">
            <w:pPr>
              <w:pStyle w:val="Tabellentext"/>
            </w:pPr>
            <w:r>
              <w:t>H350</w:t>
            </w:r>
          </w:p>
        </w:tc>
        <w:tc>
          <w:tcPr>
            <w:tcW w:w="5153" w:type="dxa"/>
          </w:tcPr>
          <w:p w14:paraId="79D2844A" w14:textId="77777777" w:rsidR="00792BA5" w:rsidRPr="00E32126" w:rsidRDefault="00792BA5" w:rsidP="001243EF">
            <w:pPr>
              <w:pStyle w:val="Tabellentext"/>
            </w:pPr>
            <w:r>
              <w:t>Kann Krebs erzeugen.</w:t>
            </w:r>
          </w:p>
        </w:tc>
      </w:tr>
      <w:tr w:rsidR="00792BA5" w:rsidRPr="00E32126" w14:paraId="0C4768E2" w14:textId="77777777" w:rsidTr="003A3900">
        <w:trPr>
          <w:trHeight w:val="330"/>
        </w:trPr>
        <w:tc>
          <w:tcPr>
            <w:tcW w:w="2164" w:type="dxa"/>
          </w:tcPr>
          <w:p w14:paraId="157C2B5C" w14:textId="77777777" w:rsidR="00792BA5" w:rsidRPr="00E32126" w:rsidRDefault="00792BA5" w:rsidP="001243EF">
            <w:pPr>
              <w:pStyle w:val="Tabellentext"/>
            </w:pPr>
            <w:proofErr w:type="spellStart"/>
            <w:r>
              <w:t>Carc</w:t>
            </w:r>
            <w:proofErr w:type="spellEnd"/>
            <w:r>
              <w:t>. 1A, 1B</w:t>
            </w:r>
          </w:p>
        </w:tc>
        <w:tc>
          <w:tcPr>
            <w:tcW w:w="1640" w:type="dxa"/>
          </w:tcPr>
          <w:p w14:paraId="57981621" w14:textId="77777777" w:rsidR="00792BA5" w:rsidRPr="00E32126" w:rsidRDefault="00792BA5" w:rsidP="001243EF">
            <w:pPr>
              <w:pStyle w:val="Tabellentext"/>
            </w:pPr>
            <w:r>
              <w:t>H350i</w:t>
            </w:r>
          </w:p>
        </w:tc>
        <w:tc>
          <w:tcPr>
            <w:tcW w:w="5153" w:type="dxa"/>
          </w:tcPr>
          <w:p w14:paraId="0095C230" w14:textId="77777777" w:rsidR="00792BA5" w:rsidRPr="00E32126" w:rsidRDefault="00792BA5" w:rsidP="001243EF">
            <w:pPr>
              <w:pStyle w:val="Tabellentext"/>
            </w:pPr>
            <w:r>
              <w:t>Kann beim Einatmen Krebs erzeugen.</w:t>
            </w:r>
          </w:p>
        </w:tc>
      </w:tr>
      <w:tr w:rsidR="00A52295" w:rsidRPr="00E32126" w14:paraId="4FFF2436" w14:textId="77777777" w:rsidTr="003A3900">
        <w:trPr>
          <w:cnfStyle w:val="000000100000" w:firstRow="0" w:lastRow="0" w:firstColumn="0" w:lastColumn="0" w:oddVBand="0" w:evenVBand="0" w:oddHBand="1" w:evenHBand="0" w:firstRowFirstColumn="0" w:firstRowLastColumn="0" w:lastRowFirstColumn="0" w:lastRowLastColumn="0"/>
          <w:trHeight w:val="330"/>
        </w:trPr>
        <w:tc>
          <w:tcPr>
            <w:tcW w:w="2164" w:type="dxa"/>
          </w:tcPr>
          <w:p w14:paraId="4F9B72A5" w14:textId="7DC22D8D" w:rsidR="00A52295" w:rsidRDefault="00A52295" w:rsidP="00A52295">
            <w:pPr>
              <w:pStyle w:val="Tabellentext"/>
            </w:pPr>
            <w:proofErr w:type="spellStart"/>
            <w:r w:rsidRPr="00927B69">
              <w:t>Carc</w:t>
            </w:r>
            <w:proofErr w:type="spellEnd"/>
            <w:r w:rsidRPr="00927B69">
              <w:t xml:space="preserve">. 2 </w:t>
            </w:r>
          </w:p>
        </w:tc>
        <w:tc>
          <w:tcPr>
            <w:tcW w:w="1640" w:type="dxa"/>
          </w:tcPr>
          <w:p w14:paraId="198A1430" w14:textId="1D5A8046" w:rsidR="00A52295" w:rsidRDefault="00A52295" w:rsidP="00A52295">
            <w:pPr>
              <w:pStyle w:val="Tabellentext"/>
            </w:pPr>
            <w:r w:rsidRPr="00927B69">
              <w:t xml:space="preserve">H351 </w:t>
            </w:r>
          </w:p>
        </w:tc>
        <w:tc>
          <w:tcPr>
            <w:tcW w:w="5153" w:type="dxa"/>
          </w:tcPr>
          <w:p w14:paraId="61352CA8" w14:textId="33F7AF42" w:rsidR="00A52295" w:rsidRDefault="00A52295" w:rsidP="00A52295">
            <w:pPr>
              <w:pStyle w:val="Tabellentext"/>
            </w:pPr>
            <w:r w:rsidRPr="00927B69">
              <w:t xml:space="preserve">Kann vermutlich Krebs erzeugen. </w:t>
            </w:r>
          </w:p>
        </w:tc>
      </w:tr>
      <w:tr w:rsidR="00792BA5" w:rsidRPr="00DE279E" w14:paraId="581BE38F" w14:textId="77777777" w:rsidTr="003A3900">
        <w:trPr>
          <w:trHeight w:val="311"/>
        </w:trPr>
        <w:tc>
          <w:tcPr>
            <w:tcW w:w="8957" w:type="dxa"/>
            <w:gridSpan w:val="3"/>
          </w:tcPr>
          <w:p w14:paraId="2A8F577B" w14:textId="77777777" w:rsidR="00792BA5" w:rsidRPr="00DE279E" w:rsidRDefault="00792BA5" w:rsidP="001243EF">
            <w:pPr>
              <w:pStyle w:val="Tabellentextfett"/>
            </w:pPr>
            <w:proofErr w:type="spellStart"/>
            <w:r w:rsidRPr="00DE279E">
              <w:t>keimzellmutagene</w:t>
            </w:r>
            <w:proofErr w:type="spellEnd"/>
            <w:r w:rsidRPr="00DE279E">
              <w:t xml:space="preserve"> (erbgutverändernde) Stoffe</w:t>
            </w:r>
          </w:p>
        </w:tc>
      </w:tr>
      <w:tr w:rsidR="00792BA5" w:rsidRPr="00E32126" w14:paraId="45D799BA" w14:textId="77777777" w:rsidTr="003A3900">
        <w:trPr>
          <w:cnfStyle w:val="000000100000" w:firstRow="0" w:lastRow="0" w:firstColumn="0" w:lastColumn="0" w:oddVBand="0" w:evenVBand="0" w:oddHBand="1" w:evenHBand="0" w:firstRowFirstColumn="0" w:firstRowLastColumn="0" w:lastRowFirstColumn="0" w:lastRowLastColumn="0"/>
          <w:trHeight w:val="311"/>
        </w:trPr>
        <w:tc>
          <w:tcPr>
            <w:tcW w:w="2164" w:type="dxa"/>
          </w:tcPr>
          <w:p w14:paraId="40F5CD4A" w14:textId="77777777" w:rsidR="00792BA5" w:rsidRPr="00E32126" w:rsidRDefault="00792BA5" w:rsidP="001243EF">
            <w:pPr>
              <w:pStyle w:val="Tabellentext"/>
            </w:pPr>
            <w:proofErr w:type="spellStart"/>
            <w:r>
              <w:t>Muta</w:t>
            </w:r>
            <w:proofErr w:type="spellEnd"/>
            <w:r>
              <w:t>. 1A</w:t>
            </w:r>
          </w:p>
        </w:tc>
        <w:tc>
          <w:tcPr>
            <w:tcW w:w="1640" w:type="dxa"/>
          </w:tcPr>
          <w:p w14:paraId="30D15412" w14:textId="77777777" w:rsidR="00792BA5" w:rsidRPr="00E32126" w:rsidRDefault="00792BA5" w:rsidP="001243EF">
            <w:pPr>
              <w:pStyle w:val="Tabellentext"/>
            </w:pPr>
            <w:r>
              <w:t>H340</w:t>
            </w:r>
          </w:p>
        </w:tc>
        <w:tc>
          <w:tcPr>
            <w:tcW w:w="5153" w:type="dxa"/>
          </w:tcPr>
          <w:p w14:paraId="6992F540" w14:textId="77777777" w:rsidR="00792BA5" w:rsidRPr="00E32126" w:rsidRDefault="00792BA5" w:rsidP="001243EF">
            <w:pPr>
              <w:pStyle w:val="Tabellentext"/>
            </w:pPr>
            <w:r>
              <w:t>Kann genetische Defekte verursachen.</w:t>
            </w:r>
          </w:p>
        </w:tc>
      </w:tr>
      <w:tr w:rsidR="00792BA5" w:rsidRPr="00E32126" w14:paraId="7CE27E69" w14:textId="77777777" w:rsidTr="003A3900">
        <w:trPr>
          <w:trHeight w:val="311"/>
        </w:trPr>
        <w:tc>
          <w:tcPr>
            <w:tcW w:w="2164" w:type="dxa"/>
          </w:tcPr>
          <w:p w14:paraId="7B31499C" w14:textId="77777777" w:rsidR="00792BA5" w:rsidRPr="00E32126" w:rsidRDefault="00792BA5" w:rsidP="001243EF">
            <w:pPr>
              <w:pStyle w:val="Tabellentext"/>
            </w:pPr>
            <w:proofErr w:type="spellStart"/>
            <w:r>
              <w:t>Muta</w:t>
            </w:r>
            <w:proofErr w:type="spellEnd"/>
            <w:r>
              <w:t>. 1B</w:t>
            </w:r>
          </w:p>
        </w:tc>
        <w:tc>
          <w:tcPr>
            <w:tcW w:w="1640" w:type="dxa"/>
          </w:tcPr>
          <w:p w14:paraId="2CE1EC18" w14:textId="77777777" w:rsidR="00792BA5" w:rsidRPr="00E32126" w:rsidRDefault="00792BA5" w:rsidP="001243EF">
            <w:pPr>
              <w:pStyle w:val="Tabellentext"/>
            </w:pPr>
            <w:r>
              <w:t>H340</w:t>
            </w:r>
          </w:p>
        </w:tc>
        <w:tc>
          <w:tcPr>
            <w:tcW w:w="5153" w:type="dxa"/>
          </w:tcPr>
          <w:p w14:paraId="722B2976" w14:textId="77777777" w:rsidR="00792BA5" w:rsidRPr="00E32126" w:rsidRDefault="00792BA5" w:rsidP="001243EF">
            <w:pPr>
              <w:pStyle w:val="Tabellentext"/>
            </w:pPr>
            <w:r>
              <w:t>Kann genetische Defekte verursachen.</w:t>
            </w:r>
          </w:p>
        </w:tc>
      </w:tr>
      <w:tr w:rsidR="00792BA5" w:rsidRPr="00E32126" w14:paraId="736E580C" w14:textId="77777777" w:rsidTr="003A3900">
        <w:trPr>
          <w:cnfStyle w:val="000000100000" w:firstRow="0" w:lastRow="0" w:firstColumn="0" w:lastColumn="0" w:oddVBand="0" w:evenVBand="0" w:oddHBand="1" w:evenHBand="0" w:firstRowFirstColumn="0" w:firstRowLastColumn="0" w:lastRowFirstColumn="0" w:lastRowLastColumn="0"/>
          <w:trHeight w:val="311"/>
        </w:trPr>
        <w:tc>
          <w:tcPr>
            <w:tcW w:w="2164" w:type="dxa"/>
          </w:tcPr>
          <w:p w14:paraId="18188DBD" w14:textId="77777777" w:rsidR="00792BA5" w:rsidRDefault="00792BA5" w:rsidP="001243EF">
            <w:pPr>
              <w:pStyle w:val="Tabellentext"/>
            </w:pPr>
            <w:proofErr w:type="spellStart"/>
            <w:r>
              <w:t>Muta</w:t>
            </w:r>
            <w:proofErr w:type="spellEnd"/>
            <w:r>
              <w:t>. 2</w:t>
            </w:r>
          </w:p>
        </w:tc>
        <w:tc>
          <w:tcPr>
            <w:tcW w:w="1640" w:type="dxa"/>
          </w:tcPr>
          <w:p w14:paraId="01024E6D" w14:textId="77777777" w:rsidR="00792BA5" w:rsidRDefault="00792BA5" w:rsidP="001243EF">
            <w:pPr>
              <w:pStyle w:val="Tabellentext"/>
            </w:pPr>
            <w:r>
              <w:t>H341</w:t>
            </w:r>
          </w:p>
        </w:tc>
        <w:tc>
          <w:tcPr>
            <w:tcW w:w="5153" w:type="dxa"/>
          </w:tcPr>
          <w:p w14:paraId="50875901" w14:textId="77777777" w:rsidR="00792BA5" w:rsidRDefault="00792BA5" w:rsidP="001243EF">
            <w:pPr>
              <w:pStyle w:val="Tabellentext"/>
            </w:pPr>
            <w:r>
              <w:t>Kann vermutlich genetische Defekte verursachen.</w:t>
            </w:r>
          </w:p>
        </w:tc>
      </w:tr>
      <w:tr w:rsidR="00792BA5" w:rsidRPr="00DE279E" w14:paraId="62545AD5" w14:textId="77777777" w:rsidTr="003A3900">
        <w:trPr>
          <w:trHeight w:val="311"/>
        </w:trPr>
        <w:tc>
          <w:tcPr>
            <w:tcW w:w="8957" w:type="dxa"/>
            <w:gridSpan w:val="3"/>
          </w:tcPr>
          <w:p w14:paraId="6B34C41C" w14:textId="77777777" w:rsidR="00792BA5" w:rsidRPr="00DE279E" w:rsidRDefault="00792BA5" w:rsidP="001243EF">
            <w:pPr>
              <w:pStyle w:val="Tabellentextfett"/>
            </w:pPr>
            <w:r w:rsidRPr="00DE279E">
              <w:t>reproduktionstoxische (fortpflanzungsgefährdende) Stoffe</w:t>
            </w:r>
          </w:p>
        </w:tc>
      </w:tr>
      <w:tr w:rsidR="00792BA5" w:rsidRPr="00E32126" w14:paraId="5EF74473" w14:textId="77777777" w:rsidTr="003A3900">
        <w:trPr>
          <w:cnfStyle w:val="000000100000" w:firstRow="0" w:lastRow="0" w:firstColumn="0" w:lastColumn="0" w:oddVBand="0" w:evenVBand="0" w:oddHBand="1" w:evenHBand="0" w:firstRowFirstColumn="0" w:firstRowLastColumn="0" w:lastRowFirstColumn="0" w:lastRowLastColumn="0"/>
          <w:trHeight w:val="311"/>
        </w:trPr>
        <w:tc>
          <w:tcPr>
            <w:tcW w:w="2164" w:type="dxa"/>
          </w:tcPr>
          <w:p w14:paraId="592D9689" w14:textId="77777777" w:rsidR="00792BA5" w:rsidRPr="00E32126" w:rsidRDefault="00792BA5" w:rsidP="001243EF">
            <w:pPr>
              <w:pStyle w:val="Tabellentext"/>
            </w:pPr>
            <w:proofErr w:type="spellStart"/>
            <w:r>
              <w:t>Repr</w:t>
            </w:r>
            <w:proofErr w:type="spellEnd"/>
            <w:r>
              <w:t>. 1A, 1B</w:t>
            </w:r>
          </w:p>
        </w:tc>
        <w:tc>
          <w:tcPr>
            <w:tcW w:w="1640" w:type="dxa"/>
          </w:tcPr>
          <w:p w14:paraId="44F4FAF5" w14:textId="77777777" w:rsidR="00792BA5" w:rsidRPr="00E32126" w:rsidRDefault="00792BA5" w:rsidP="001243EF">
            <w:pPr>
              <w:pStyle w:val="Tabellentext"/>
            </w:pPr>
            <w:r>
              <w:t>H360D</w:t>
            </w:r>
          </w:p>
        </w:tc>
        <w:tc>
          <w:tcPr>
            <w:tcW w:w="5153" w:type="dxa"/>
          </w:tcPr>
          <w:p w14:paraId="054C6625" w14:textId="77777777" w:rsidR="00792BA5" w:rsidRPr="00E32126" w:rsidRDefault="00792BA5" w:rsidP="001243EF">
            <w:pPr>
              <w:pStyle w:val="Tabellentext"/>
            </w:pPr>
            <w:r>
              <w:t>Kann das Kind im Mutterleib schädigen.</w:t>
            </w:r>
          </w:p>
        </w:tc>
      </w:tr>
      <w:tr w:rsidR="00792BA5" w:rsidRPr="00E32126" w14:paraId="560D96DB" w14:textId="77777777" w:rsidTr="003A3900">
        <w:trPr>
          <w:trHeight w:val="311"/>
        </w:trPr>
        <w:tc>
          <w:tcPr>
            <w:tcW w:w="2164" w:type="dxa"/>
          </w:tcPr>
          <w:p w14:paraId="4F09D3A8" w14:textId="77777777" w:rsidR="00792BA5" w:rsidRPr="00E32126" w:rsidRDefault="00792BA5" w:rsidP="001243EF">
            <w:pPr>
              <w:pStyle w:val="Tabellentext"/>
            </w:pPr>
            <w:proofErr w:type="spellStart"/>
            <w:r>
              <w:t>Repr</w:t>
            </w:r>
            <w:proofErr w:type="spellEnd"/>
            <w:r>
              <w:t>. 1A, 1B</w:t>
            </w:r>
          </w:p>
        </w:tc>
        <w:tc>
          <w:tcPr>
            <w:tcW w:w="1640" w:type="dxa"/>
          </w:tcPr>
          <w:p w14:paraId="4709B2BE" w14:textId="77777777" w:rsidR="00792BA5" w:rsidRPr="00E32126" w:rsidRDefault="00792BA5" w:rsidP="001243EF">
            <w:pPr>
              <w:pStyle w:val="Tabellentext"/>
            </w:pPr>
            <w:r>
              <w:t>H360F</w:t>
            </w:r>
          </w:p>
        </w:tc>
        <w:tc>
          <w:tcPr>
            <w:tcW w:w="5153" w:type="dxa"/>
          </w:tcPr>
          <w:p w14:paraId="5A1AED47" w14:textId="77777777" w:rsidR="00792BA5" w:rsidRPr="00E32126" w:rsidRDefault="00792BA5" w:rsidP="001243EF">
            <w:pPr>
              <w:pStyle w:val="Tabellentext"/>
            </w:pPr>
            <w:r>
              <w:t>Kann die Fruchtbarkeit beeinträchtigen.</w:t>
            </w:r>
          </w:p>
        </w:tc>
      </w:tr>
      <w:tr w:rsidR="00792BA5" w:rsidRPr="00E32126" w14:paraId="5FDE29D9" w14:textId="77777777" w:rsidTr="003A3900">
        <w:trPr>
          <w:cnfStyle w:val="000000100000" w:firstRow="0" w:lastRow="0" w:firstColumn="0" w:lastColumn="0" w:oddVBand="0" w:evenVBand="0" w:oddHBand="1" w:evenHBand="0" w:firstRowFirstColumn="0" w:firstRowLastColumn="0" w:lastRowFirstColumn="0" w:lastRowLastColumn="0"/>
          <w:trHeight w:val="311"/>
        </w:trPr>
        <w:tc>
          <w:tcPr>
            <w:tcW w:w="2164" w:type="dxa"/>
            <w:vAlign w:val="center"/>
          </w:tcPr>
          <w:p w14:paraId="62613622" w14:textId="77777777" w:rsidR="00792BA5" w:rsidRPr="00E32126" w:rsidRDefault="00792BA5" w:rsidP="001243EF">
            <w:pPr>
              <w:pStyle w:val="Tabellentext"/>
            </w:pPr>
            <w:proofErr w:type="spellStart"/>
            <w:r>
              <w:t>Repr</w:t>
            </w:r>
            <w:proofErr w:type="spellEnd"/>
            <w:r>
              <w:t>. 1A, 1B</w:t>
            </w:r>
          </w:p>
        </w:tc>
        <w:tc>
          <w:tcPr>
            <w:tcW w:w="1640" w:type="dxa"/>
            <w:vAlign w:val="center"/>
          </w:tcPr>
          <w:p w14:paraId="4666A9BE" w14:textId="77777777" w:rsidR="00792BA5" w:rsidRPr="00E32126" w:rsidRDefault="00792BA5" w:rsidP="001243EF">
            <w:pPr>
              <w:pStyle w:val="Tabellentext"/>
            </w:pPr>
            <w:r>
              <w:t>H360FD</w:t>
            </w:r>
          </w:p>
        </w:tc>
        <w:tc>
          <w:tcPr>
            <w:tcW w:w="5153" w:type="dxa"/>
          </w:tcPr>
          <w:p w14:paraId="6B8AAD5F" w14:textId="77777777" w:rsidR="00792BA5" w:rsidRDefault="00792BA5" w:rsidP="001243EF">
            <w:pPr>
              <w:pStyle w:val="Tabellentext"/>
            </w:pPr>
            <w:r>
              <w:t>Kann die Fruchtbarkeit beeinträchtigen.</w:t>
            </w:r>
          </w:p>
          <w:p w14:paraId="4229FD10" w14:textId="77777777" w:rsidR="00792BA5" w:rsidRPr="00E32126" w:rsidRDefault="00792BA5" w:rsidP="001243EF">
            <w:pPr>
              <w:pStyle w:val="Tabellentext"/>
            </w:pPr>
            <w:r>
              <w:t>Kann das Kind im Mutterleib schädigen.</w:t>
            </w:r>
          </w:p>
        </w:tc>
      </w:tr>
      <w:tr w:rsidR="00792BA5" w:rsidRPr="00E32126" w14:paraId="52C86A1D" w14:textId="77777777" w:rsidTr="003A3900">
        <w:trPr>
          <w:trHeight w:val="311"/>
        </w:trPr>
        <w:tc>
          <w:tcPr>
            <w:tcW w:w="2164" w:type="dxa"/>
            <w:vAlign w:val="center"/>
          </w:tcPr>
          <w:p w14:paraId="68F85E45" w14:textId="77777777" w:rsidR="00792BA5" w:rsidRPr="00E32126" w:rsidRDefault="00792BA5" w:rsidP="001243EF">
            <w:pPr>
              <w:pStyle w:val="Tabellentext"/>
            </w:pPr>
            <w:proofErr w:type="spellStart"/>
            <w:r>
              <w:t>Repr</w:t>
            </w:r>
            <w:proofErr w:type="spellEnd"/>
            <w:r>
              <w:t>. 1A, 1B</w:t>
            </w:r>
          </w:p>
        </w:tc>
        <w:tc>
          <w:tcPr>
            <w:tcW w:w="1640" w:type="dxa"/>
            <w:vAlign w:val="center"/>
          </w:tcPr>
          <w:p w14:paraId="1B456140" w14:textId="77777777" w:rsidR="00792BA5" w:rsidRPr="00E32126" w:rsidRDefault="00792BA5" w:rsidP="001243EF">
            <w:pPr>
              <w:pStyle w:val="Tabellentext"/>
            </w:pPr>
            <w:r>
              <w:t>H360Df</w:t>
            </w:r>
          </w:p>
        </w:tc>
        <w:tc>
          <w:tcPr>
            <w:tcW w:w="5153" w:type="dxa"/>
          </w:tcPr>
          <w:p w14:paraId="4FB0821B" w14:textId="77777777" w:rsidR="00792BA5" w:rsidRDefault="00792BA5" w:rsidP="001243EF">
            <w:pPr>
              <w:pStyle w:val="Tabellentext"/>
            </w:pPr>
            <w:r>
              <w:t>Kann das Kind im Mutterleib schädigen.</w:t>
            </w:r>
          </w:p>
          <w:p w14:paraId="417C25F1" w14:textId="77777777" w:rsidR="00792BA5" w:rsidRPr="00E32126" w:rsidRDefault="00792BA5" w:rsidP="001243EF">
            <w:pPr>
              <w:pStyle w:val="Tabellentext"/>
            </w:pPr>
            <w:r>
              <w:t>Kann vermutlich die Fruchtbarkeit beeinträchtigen.</w:t>
            </w:r>
          </w:p>
        </w:tc>
      </w:tr>
      <w:tr w:rsidR="00792BA5" w:rsidRPr="00E32126" w14:paraId="06B60C6F" w14:textId="77777777" w:rsidTr="003A3900">
        <w:trPr>
          <w:cnfStyle w:val="000000100000" w:firstRow="0" w:lastRow="0" w:firstColumn="0" w:lastColumn="0" w:oddVBand="0" w:evenVBand="0" w:oddHBand="1" w:evenHBand="0" w:firstRowFirstColumn="0" w:firstRowLastColumn="0" w:lastRowFirstColumn="0" w:lastRowLastColumn="0"/>
          <w:trHeight w:val="311"/>
        </w:trPr>
        <w:tc>
          <w:tcPr>
            <w:tcW w:w="2164" w:type="dxa"/>
            <w:vAlign w:val="center"/>
          </w:tcPr>
          <w:p w14:paraId="6D9BB306" w14:textId="77777777" w:rsidR="00792BA5" w:rsidRPr="00E32126" w:rsidRDefault="00792BA5" w:rsidP="001243EF">
            <w:pPr>
              <w:pStyle w:val="Tabellentext"/>
            </w:pPr>
            <w:proofErr w:type="spellStart"/>
            <w:r>
              <w:t>Repr</w:t>
            </w:r>
            <w:proofErr w:type="spellEnd"/>
            <w:r>
              <w:t>. 1A, 1B</w:t>
            </w:r>
          </w:p>
        </w:tc>
        <w:tc>
          <w:tcPr>
            <w:tcW w:w="1640" w:type="dxa"/>
            <w:vAlign w:val="center"/>
          </w:tcPr>
          <w:p w14:paraId="092FDAE1" w14:textId="77777777" w:rsidR="00792BA5" w:rsidRPr="00E32126" w:rsidRDefault="00792BA5" w:rsidP="001243EF">
            <w:pPr>
              <w:pStyle w:val="Tabellentext"/>
            </w:pPr>
            <w:r>
              <w:t>H360Fd</w:t>
            </w:r>
          </w:p>
        </w:tc>
        <w:tc>
          <w:tcPr>
            <w:tcW w:w="5153" w:type="dxa"/>
          </w:tcPr>
          <w:p w14:paraId="0BEC9A38" w14:textId="77777777" w:rsidR="00792BA5" w:rsidRDefault="00792BA5" w:rsidP="001243EF">
            <w:pPr>
              <w:pStyle w:val="Tabellentext"/>
            </w:pPr>
            <w:r>
              <w:t>Kann die Fruchtbarkeit beeinträchtigen.</w:t>
            </w:r>
          </w:p>
          <w:p w14:paraId="0EE51DD4" w14:textId="77777777" w:rsidR="00792BA5" w:rsidRPr="00E32126" w:rsidRDefault="00792BA5" w:rsidP="001243EF">
            <w:pPr>
              <w:pStyle w:val="Tabellentext"/>
            </w:pPr>
            <w:r>
              <w:t>Kann vermutlich das Kind im Mutterleib schädigen.</w:t>
            </w:r>
          </w:p>
        </w:tc>
      </w:tr>
      <w:tr w:rsidR="00792BA5" w:rsidRPr="00E32126" w14:paraId="5C000C96" w14:textId="77777777" w:rsidTr="003A3900">
        <w:trPr>
          <w:trHeight w:val="311"/>
        </w:trPr>
        <w:tc>
          <w:tcPr>
            <w:tcW w:w="2164" w:type="dxa"/>
            <w:vAlign w:val="center"/>
          </w:tcPr>
          <w:p w14:paraId="1107BD91" w14:textId="77777777" w:rsidR="00792BA5" w:rsidRDefault="00792BA5" w:rsidP="001243EF">
            <w:pPr>
              <w:pStyle w:val="Tabellentext"/>
            </w:pPr>
            <w:proofErr w:type="spellStart"/>
            <w:r>
              <w:t>Repr</w:t>
            </w:r>
            <w:proofErr w:type="spellEnd"/>
            <w:r>
              <w:t>. 2</w:t>
            </w:r>
          </w:p>
        </w:tc>
        <w:tc>
          <w:tcPr>
            <w:tcW w:w="1640" w:type="dxa"/>
            <w:vAlign w:val="center"/>
          </w:tcPr>
          <w:p w14:paraId="710022D6" w14:textId="77777777" w:rsidR="00792BA5" w:rsidRDefault="00792BA5" w:rsidP="001243EF">
            <w:pPr>
              <w:pStyle w:val="Tabellentext"/>
            </w:pPr>
            <w:r>
              <w:t>H361</w:t>
            </w:r>
          </w:p>
        </w:tc>
        <w:tc>
          <w:tcPr>
            <w:tcW w:w="5153" w:type="dxa"/>
          </w:tcPr>
          <w:p w14:paraId="2D4570AB" w14:textId="77777777" w:rsidR="00792BA5" w:rsidRDefault="00792BA5" w:rsidP="001243EF">
            <w:pPr>
              <w:pStyle w:val="Tabellentext"/>
            </w:pPr>
            <w:r>
              <w:t>Kann vermutlich die Fruchtbarkeit beeinträchtigen oder das Kind im Mutterleib schädigen.</w:t>
            </w:r>
          </w:p>
        </w:tc>
      </w:tr>
      <w:tr w:rsidR="00792BA5" w:rsidRPr="00E32126" w14:paraId="70CEC1E3" w14:textId="77777777" w:rsidTr="003A3900">
        <w:trPr>
          <w:cnfStyle w:val="000000100000" w:firstRow="0" w:lastRow="0" w:firstColumn="0" w:lastColumn="0" w:oddVBand="0" w:evenVBand="0" w:oddHBand="1" w:evenHBand="0" w:firstRowFirstColumn="0" w:firstRowLastColumn="0" w:lastRowFirstColumn="0" w:lastRowLastColumn="0"/>
          <w:trHeight w:val="311"/>
        </w:trPr>
        <w:tc>
          <w:tcPr>
            <w:tcW w:w="2164" w:type="dxa"/>
            <w:vAlign w:val="center"/>
          </w:tcPr>
          <w:p w14:paraId="08EFC6BD" w14:textId="77777777" w:rsidR="00792BA5" w:rsidRDefault="00792BA5" w:rsidP="001243EF">
            <w:pPr>
              <w:pStyle w:val="Tabellentext"/>
            </w:pPr>
            <w:proofErr w:type="spellStart"/>
            <w:r>
              <w:t>Repr</w:t>
            </w:r>
            <w:proofErr w:type="spellEnd"/>
            <w:r>
              <w:t>. 2</w:t>
            </w:r>
          </w:p>
        </w:tc>
        <w:tc>
          <w:tcPr>
            <w:tcW w:w="1640" w:type="dxa"/>
            <w:vAlign w:val="center"/>
          </w:tcPr>
          <w:p w14:paraId="71A7F7E1" w14:textId="77777777" w:rsidR="00792BA5" w:rsidRDefault="00792BA5" w:rsidP="001243EF">
            <w:pPr>
              <w:pStyle w:val="Tabellentext"/>
            </w:pPr>
            <w:r>
              <w:t>H361d</w:t>
            </w:r>
          </w:p>
        </w:tc>
        <w:tc>
          <w:tcPr>
            <w:tcW w:w="5153" w:type="dxa"/>
          </w:tcPr>
          <w:p w14:paraId="53DD6DEB" w14:textId="77777777" w:rsidR="00792BA5" w:rsidRDefault="00792BA5" w:rsidP="001243EF">
            <w:pPr>
              <w:pStyle w:val="Tabellentext"/>
            </w:pPr>
            <w:r>
              <w:t>Kann vermutlich das Kind im Mutterleib schädigen.</w:t>
            </w:r>
          </w:p>
        </w:tc>
      </w:tr>
      <w:tr w:rsidR="00792BA5" w:rsidRPr="00E32126" w14:paraId="5C5FAB2B" w14:textId="77777777" w:rsidTr="003A3900">
        <w:trPr>
          <w:trHeight w:val="311"/>
        </w:trPr>
        <w:tc>
          <w:tcPr>
            <w:tcW w:w="2164" w:type="dxa"/>
            <w:vAlign w:val="center"/>
          </w:tcPr>
          <w:p w14:paraId="46F1026C" w14:textId="77777777" w:rsidR="00792BA5" w:rsidRDefault="00792BA5" w:rsidP="001243EF">
            <w:pPr>
              <w:pStyle w:val="Tabellentext"/>
            </w:pPr>
            <w:proofErr w:type="spellStart"/>
            <w:r>
              <w:t>Repr</w:t>
            </w:r>
            <w:proofErr w:type="spellEnd"/>
            <w:r>
              <w:t>. 2</w:t>
            </w:r>
          </w:p>
        </w:tc>
        <w:tc>
          <w:tcPr>
            <w:tcW w:w="1640" w:type="dxa"/>
            <w:vAlign w:val="center"/>
          </w:tcPr>
          <w:p w14:paraId="26F6C4E0" w14:textId="77777777" w:rsidR="00792BA5" w:rsidRDefault="00792BA5" w:rsidP="001243EF">
            <w:pPr>
              <w:pStyle w:val="Tabellentext"/>
            </w:pPr>
            <w:r>
              <w:t>H361f</w:t>
            </w:r>
          </w:p>
        </w:tc>
        <w:tc>
          <w:tcPr>
            <w:tcW w:w="5153" w:type="dxa"/>
          </w:tcPr>
          <w:p w14:paraId="63EB7E78" w14:textId="77777777" w:rsidR="00792BA5" w:rsidRDefault="00792BA5" w:rsidP="001243EF">
            <w:pPr>
              <w:pStyle w:val="Tabellentext"/>
            </w:pPr>
            <w:r>
              <w:t>Kann vermutlich das Kind im Mutterleib beeinträchtigen.</w:t>
            </w:r>
          </w:p>
        </w:tc>
      </w:tr>
      <w:tr w:rsidR="00792BA5" w:rsidRPr="00E32126" w14:paraId="5059411E" w14:textId="77777777" w:rsidTr="003A3900">
        <w:trPr>
          <w:cnfStyle w:val="000000100000" w:firstRow="0" w:lastRow="0" w:firstColumn="0" w:lastColumn="0" w:oddVBand="0" w:evenVBand="0" w:oddHBand="1" w:evenHBand="0" w:firstRowFirstColumn="0" w:firstRowLastColumn="0" w:lastRowFirstColumn="0" w:lastRowLastColumn="0"/>
          <w:trHeight w:val="311"/>
        </w:trPr>
        <w:tc>
          <w:tcPr>
            <w:tcW w:w="2164" w:type="dxa"/>
            <w:vAlign w:val="center"/>
          </w:tcPr>
          <w:p w14:paraId="5D3667D6" w14:textId="77777777" w:rsidR="00792BA5" w:rsidRDefault="00792BA5" w:rsidP="001243EF">
            <w:pPr>
              <w:pStyle w:val="Tabellentext"/>
            </w:pPr>
            <w:proofErr w:type="spellStart"/>
            <w:r>
              <w:t>Repr</w:t>
            </w:r>
            <w:proofErr w:type="spellEnd"/>
            <w:r>
              <w:t>. 2</w:t>
            </w:r>
          </w:p>
        </w:tc>
        <w:tc>
          <w:tcPr>
            <w:tcW w:w="1640" w:type="dxa"/>
            <w:vAlign w:val="center"/>
          </w:tcPr>
          <w:p w14:paraId="0B3A6712" w14:textId="77777777" w:rsidR="00792BA5" w:rsidRDefault="00792BA5" w:rsidP="001243EF">
            <w:pPr>
              <w:pStyle w:val="Tabellentext"/>
            </w:pPr>
            <w:r>
              <w:t>H361fd</w:t>
            </w:r>
          </w:p>
        </w:tc>
        <w:tc>
          <w:tcPr>
            <w:tcW w:w="5153" w:type="dxa"/>
          </w:tcPr>
          <w:p w14:paraId="5A90C759" w14:textId="77777777" w:rsidR="00792BA5" w:rsidRDefault="00792BA5" w:rsidP="001243EF">
            <w:pPr>
              <w:pStyle w:val="Tabellentext"/>
            </w:pPr>
            <w:r>
              <w:t>Kann vermutlich die Fruchtbarkeit beeinträchtigen.</w:t>
            </w:r>
          </w:p>
          <w:p w14:paraId="7F3C88CE" w14:textId="77777777" w:rsidR="00792BA5" w:rsidRDefault="00792BA5" w:rsidP="001243EF">
            <w:pPr>
              <w:pStyle w:val="Tabellentext"/>
            </w:pPr>
            <w:r>
              <w:t>Kann vermutlich das Kind im Mutterleib schädigen</w:t>
            </w:r>
          </w:p>
        </w:tc>
      </w:tr>
      <w:tr w:rsidR="00792BA5" w:rsidRPr="00DE279E" w14:paraId="001B085E" w14:textId="77777777" w:rsidTr="003A3900">
        <w:trPr>
          <w:trHeight w:val="311"/>
        </w:trPr>
        <w:tc>
          <w:tcPr>
            <w:tcW w:w="8957" w:type="dxa"/>
            <w:gridSpan w:val="3"/>
          </w:tcPr>
          <w:p w14:paraId="0B240686" w14:textId="77777777" w:rsidR="00792BA5" w:rsidRPr="00DE279E" w:rsidRDefault="00792BA5" w:rsidP="001243EF">
            <w:pPr>
              <w:pStyle w:val="Tabellentextfett"/>
            </w:pPr>
            <w:r w:rsidRPr="00DE279E">
              <w:t>akut toxische Stoffe</w:t>
            </w:r>
          </w:p>
        </w:tc>
      </w:tr>
      <w:tr w:rsidR="00792BA5" w:rsidRPr="00E32126" w14:paraId="282B052E" w14:textId="77777777" w:rsidTr="003A3900">
        <w:trPr>
          <w:cnfStyle w:val="000000100000" w:firstRow="0" w:lastRow="0" w:firstColumn="0" w:lastColumn="0" w:oddVBand="0" w:evenVBand="0" w:oddHBand="1" w:evenHBand="0" w:firstRowFirstColumn="0" w:firstRowLastColumn="0" w:lastRowFirstColumn="0" w:lastRowLastColumn="0"/>
          <w:trHeight w:val="311"/>
        </w:trPr>
        <w:tc>
          <w:tcPr>
            <w:tcW w:w="2164" w:type="dxa"/>
          </w:tcPr>
          <w:p w14:paraId="281CAEC7" w14:textId="77777777" w:rsidR="00792BA5" w:rsidRDefault="00792BA5" w:rsidP="001243EF">
            <w:pPr>
              <w:pStyle w:val="Tabellentext"/>
            </w:pPr>
            <w:proofErr w:type="spellStart"/>
            <w:r>
              <w:t>Acute</w:t>
            </w:r>
            <w:proofErr w:type="spellEnd"/>
            <w:r>
              <w:t xml:space="preserve"> </w:t>
            </w:r>
            <w:proofErr w:type="spellStart"/>
            <w:r>
              <w:t>Tox</w:t>
            </w:r>
            <w:proofErr w:type="spellEnd"/>
            <w:r>
              <w:t>. 1</w:t>
            </w:r>
          </w:p>
          <w:p w14:paraId="6F69DDB6" w14:textId="77777777" w:rsidR="00792BA5" w:rsidRPr="00E32126" w:rsidRDefault="00792BA5" w:rsidP="001243EF">
            <w:pPr>
              <w:pStyle w:val="Tabellentext"/>
            </w:pPr>
            <w:proofErr w:type="spellStart"/>
            <w:r>
              <w:t>Acute</w:t>
            </w:r>
            <w:proofErr w:type="spellEnd"/>
            <w:r>
              <w:t xml:space="preserve"> </w:t>
            </w:r>
            <w:proofErr w:type="spellStart"/>
            <w:r>
              <w:t>Tox</w:t>
            </w:r>
            <w:proofErr w:type="spellEnd"/>
            <w:r>
              <w:t>. 2</w:t>
            </w:r>
          </w:p>
        </w:tc>
        <w:tc>
          <w:tcPr>
            <w:tcW w:w="1640" w:type="dxa"/>
            <w:vAlign w:val="center"/>
          </w:tcPr>
          <w:p w14:paraId="4B6B7A0A" w14:textId="77777777" w:rsidR="00792BA5" w:rsidRPr="00E32126" w:rsidRDefault="00792BA5" w:rsidP="001243EF">
            <w:pPr>
              <w:pStyle w:val="Tabellentext"/>
            </w:pPr>
            <w:r>
              <w:t>H300</w:t>
            </w:r>
          </w:p>
        </w:tc>
        <w:tc>
          <w:tcPr>
            <w:tcW w:w="5153" w:type="dxa"/>
            <w:vAlign w:val="center"/>
          </w:tcPr>
          <w:p w14:paraId="7535B343" w14:textId="77777777" w:rsidR="00792BA5" w:rsidRPr="00E32126" w:rsidRDefault="00792BA5" w:rsidP="001243EF">
            <w:pPr>
              <w:pStyle w:val="Tabellentext"/>
            </w:pPr>
            <w:r>
              <w:t>Lebensgefahr bei Verschlucken</w:t>
            </w:r>
          </w:p>
        </w:tc>
      </w:tr>
      <w:tr w:rsidR="001243EF" w:rsidRPr="00E32126" w14:paraId="7F5A5EB2" w14:textId="77777777" w:rsidTr="003A3900">
        <w:trPr>
          <w:trHeight w:val="311"/>
        </w:trPr>
        <w:tc>
          <w:tcPr>
            <w:tcW w:w="2164" w:type="dxa"/>
          </w:tcPr>
          <w:p w14:paraId="157288A9" w14:textId="77777777" w:rsidR="00792BA5" w:rsidRPr="00E32126" w:rsidRDefault="00792BA5" w:rsidP="001243EF">
            <w:pPr>
              <w:pStyle w:val="Tabellentext"/>
            </w:pPr>
            <w:proofErr w:type="spellStart"/>
            <w:r>
              <w:t>Acute</w:t>
            </w:r>
            <w:proofErr w:type="spellEnd"/>
            <w:r>
              <w:t xml:space="preserve"> </w:t>
            </w:r>
            <w:proofErr w:type="spellStart"/>
            <w:r>
              <w:t>Tox</w:t>
            </w:r>
            <w:proofErr w:type="spellEnd"/>
            <w:r>
              <w:t>. 3</w:t>
            </w:r>
          </w:p>
        </w:tc>
        <w:tc>
          <w:tcPr>
            <w:tcW w:w="1640" w:type="dxa"/>
          </w:tcPr>
          <w:p w14:paraId="65F171CA" w14:textId="77777777" w:rsidR="00792BA5" w:rsidRPr="00E32126" w:rsidRDefault="00792BA5" w:rsidP="001243EF">
            <w:pPr>
              <w:pStyle w:val="Tabellentext"/>
            </w:pPr>
            <w:r>
              <w:t>H301</w:t>
            </w:r>
          </w:p>
        </w:tc>
        <w:tc>
          <w:tcPr>
            <w:tcW w:w="5153" w:type="dxa"/>
          </w:tcPr>
          <w:p w14:paraId="7AA74DA3" w14:textId="77777777" w:rsidR="00792BA5" w:rsidRPr="00E32126" w:rsidRDefault="00792BA5" w:rsidP="001243EF">
            <w:pPr>
              <w:pStyle w:val="Tabellentext"/>
            </w:pPr>
            <w:r>
              <w:t>Giftig bei Verschlucken</w:t>
            </w:r>
          </w:p>
        </w:tc>
      </w:tr>
      <w:tr w:rsidR="00792BA5" w:rsidRPr="00E32126" w14:paraId="5124BEE7" w14:textId="77777777" w:rsidTr="003A3900">
        <w:trPr>
          <w:cnfStyle w:val="000000100000" w:firstRow="0" w:lastRow="0" w:firstColumn="0" w:lastColumn="0" w:oddVBand="0" w:evenVBand="0" w:oddHBand="1" w:evenHBand="0" w:firstRowFirstColumn="0" w:firstRowLastColumn="0" w:lastRowFirstColumn="0" w:lastRowLastColumn="0"/>
          <w:trHeight w:val="311"/>
        </w:trPr>
        <w:tc>
          <w:tcPr>
            <w:tcW w:w="2164" w:type="dxa"/>
          </w:tcPr>
          <w:p w14:paraId="48EFD5DD" w14:textId="77777777" w:rsidR="00792BA5" w:rsidRDefault="00792BA5" w:rsidP="001243EF">
            <w:pPr>
              <w:pStyle w:val="Tabellentext"/>
            </w:pPr>
            <w:proofErr w:type="spellStart"/>
            <w:r>
              <w:t>Acute</w:t>
            </w:r>
            <w:proofErr w:type="spellEnd"/>
            <w:r>
              <w:t xml:space="preserve"> </w:t>
            </w:r>
            <w:proofErr w:type="spellStart"/>
            <w:r>
              <w:t>Tox</w:t>
            </w:r>
            <w:proofErr w:type="spellEnd"/>
            <w:r>
              <w:t>. 1</w:t>
            </w:r>
          </w:p>
          <w:p w14:paraId="33EC5B39" w14:textId="77777777" w:rsidR="00792BA5" w:rsidRPr="00E32126" w:rsidRDefault="00792BA5" w:rsidP="001243EF">
            <w:pPr>
              <w:pStyle w:val="Tabellentext"/>
            </w:pPr>
            <w:proofErr w:type="spellStart"/>
            <w:r>
              <w:t>Acute</w:t>
            </w:r>
            <w:proofErr w:type="spellEnd"/>
            <w:r>
              <w:t xml:space="preserve"> </w:t>
            </w:r>
            <w:proofErr w:type="spellStart"/>
            <w:r>
              <w:t>Tox</w:t>
            </w:r>
            <w:proofErr w:type="spellEnd"/>
            <w:r>
              <w:t>. 2</w:t>
            </w:r>
          </w:p>
        </w:tc>
        <w:tc>
          <w:tcPr>
            <w:tcW w:w="1640" w:type="dxa"/>
            <w:vAlign w:val="center"/>
          </w:tcPr>
          <w:p w14:paraId="0D746EAE" w14:textId="77777777" w:rsidR="00792BA5" w:rsidRPr="00E32126" w:rsidRDefault="00792BA5" w:rsidP="001243EF">
            <w:pPr>
              <w:pStyle w:val="Tabellentext"/>
            </w:pPr>
            <w:r>
              <w:t>H310</w:t>
            </w:r>
          </w:p>
        </w:tc>
        <w:tc>
          <w:tcPr>
            <w:tcW w:w="5153" w:type="dxa"/>
            <w:vAlign w:val="center"/>
          </w:tcPr>
          <w:p w14:paraId="46C6BBF0" w14:textId="77777777" w:rsidR="00792BA5" w:rsidRPr="00E32126" w:rsidRDefault="00792BA5" w:rsidP="001243EF">
            <w:pPr>
              <w:pStyle w:val="Tabellentext"/>
            </w:pPr>
            <w:r>
              <w:t>Lebensgefahr bei Hautkontakt</w:t>
            </w:r>
          </w:p>
        </w:tc>
      </w:tr>
      <w:tr w:rsidR="001243EF" w:rsidRPr="00E32126" w14:paraId="718B46E0" w14:textId="77777777" w:rsidTr="003A3900">
        <w:trPr>
          <w:trHeight w:val="311"/>
        </w:trPr>
        <w:tc>
          <w:tcPr>
            <w:tcW w:w="2164" w:type="dxa"/>
          </w:tcPr>
          <w:p w14:paraId="09BC8029" w14:textId="77777777" w:rsidR="00792BA5" w:rsidRPr="00E32126" w:rsidRDefault="00792BA5" w:rsidP="001243EF">
            <w:pPr>
              <w:pStyle w:val="Tabellentext"/>
            </w:pPr>
            <w:proofErr w:type="spellStart"/>
            <w:r>
              <w:t>Acute</w:t>
            </w:r>
            <w:proofErr w:type="spellEnd"/>
            <w:r>
              <w:t xml:space="preserve"> </w:t>
            </w:r>
            <w:proofErr w:type="spellStart"/>
            <w:r>
              <w:t>Tox</w:t>
            </w:r>
            <w:proofErr w:type="spellEnd"/>
            <w:r>
              <w:t>. 3</w:t>
            </w:r>
          </w:p>
        </w:tc>
        <w:tc>
          <w:tcPr>
            <w:tcW w:w="1640" w:type="dxa"/>
          </w:tcPr>
          <w:p w14:paraId="1F8D4903" w14:textId="77777777" w:rsidR="00792BA5" w:rsidRPr="00E32126" w:rsidRDefault="00792BA5" w:rsidP="001243EF">
            <w:pPr>
              <w:pStyle w:val="Tabellentext"/>
            </w:pPr>
            <w:r>
              <w:t>H311</w:t>
            </w:r>
          </w:p>
        </w:tc>
        <w:tc>
          <w:tcPr>
            <w:tcW w:w="5153" w:type="dxa"/>
          </w:tcPr>
          <w:p w14:paraId="0A36C0B3" w14:textId="77777777" w:rsidR="00792BA5" w:rsidRPr="00E32126" w:rsidRDefault="00792BA5" w:rsidP="001243EF">
            <w:pPr>
              <w:pStyle w:val="Tabellentext"/>
            </w:pPr>
            <w:r>
              <w:t>Giftig bei Hautkontakt</w:t>
            </w:r>
          </w:p>
        </w:tc>
      </w:tr>
      <w:tr w:rsidR="00792BA5" w:rsidRPr="00E32126" w14:paraId="5D0C952A" w14:textId="77777777" w:rsidTr="003A3900">
        <w:trPr>
          <w:cnfStyle w:val="000000100000" w:firstRow="0" w:lastRow="0" w:firstColumn="0" w:lastColumn="0" w:oddVBand="0" w:evenVBand="0" w:oddHBand="1" w:evenHBand="0" w:firstRowFirstColumn="0" w:firstRowLastColumn="0" w:lastRowFirstColumn="0" w:lastRowLastColumn="0"/>
          <w:trHeight w:val="311"/>
        </w:trPr>
        <w:tc>
          <w:tcPr>
            <w:tcW w:w="2164" w:type="dxa"/>
          </w:tcPr>
          <w:p w14:paraId="072AF3E4" w14:textId="77777777" w:rsidR="00792BA5" w:rsidRDefault="00792BA5" w:rsidP="001243EF">
            <w:pPr>
              <w:pStyle w:val="Tabellentext"/>
            </w:pPr>
            <w:proofErr w:type="spellStart"/>
            <w:r>
              <w:t>Acute</w:t>
            </w:r>
            <w:proofErr w:type="spellEnd"/>
            <w:r>
              <w:t xml:space="preserve"> </w:t>
            </w:r>
            <w:proofErr w:type="spellStart"/>
            <w:r>
              <w:t>Tox</w:t>
            </w:r>
            <w:proofErr w:type="spellEnd"/>
            <w:r>
              <w:t>. 1</w:t>
            </w:r>
          </w:p>
          <w:p w14:paraId="15DB36B1" w14:textId="77777777" w:rsidR="00792BA5" w:rsidRPr="00E32126" w:rsidRDefault="00792BA5" w:rsidP="001243EF">
            <w:pPr>
              <w:pStyle w:val="Tabellentext"/>
            </w:pPr>
            <w:proofErr w:type="spellStart"/>
            <w:r>
              <w:t>Acute</w:t>
            </w:r>
            <w:proofErr w:type="spellEnd"/>
            <w:r>
              <w:t xml:space="preserve"> </w:t>
            </w:r>
            <w:proofErr w:type="spellStart"/>
            <w:r>
              <w:t>Tox</w:t>
            </w:r>
            <w:proofErr w:type="spellEnd"/>
            <w:r>
              <w:t>. 2</w:t>
            </w:r>
          </w:p>
        </w:tc>
        <w:tc>
          <w:tcPr>
            <w:tcW w:w="1640" w:type="dxa"/>
            <w:vAlign w:val="center"/>
          </w:tcPr>
          <w:p w14:paraId="15CDD502" w14:textId="77777777" w:rsidR="00792BA5" w:rsidRPr="00E32126" w:rsidRDefault="00792BA5" w:rsidP="001243EF">
            <w:pPr>
              <w:pStyle w:val="Tabellentext"/>
            </w:pPr>
            <w:r>
              <w:t>H330</w:t>
            </w:r>
          </w:p>
        </w:tc>
        <w:tc>
          <w:tcPr>
            <w:tcW w:w="5153" w:type="dxa"/>
            <w:vAlign w:val="center"/>
          </w:tcPr>
          <w:p w14:paraId="147163C1" w14:textId="77777777" w:rsidR="00792BA5" w:rsidRPr="00E32126" w:rsidRDefault="00792BA5" w:rsidP="001243EF">
            <w:pPr>
              <w:pStyle w:val="Tabellentext"/>
            </w:pPr>
            <w:r>
              <w:t>Lebensgefahr bei Einatmen</w:t>
            </w:r>
          </w:p>
        </w:tc>
      </w:tr>
      <w:tr w:rsidR="00792BA5" w:rsidRPr="00E32126" w14:paraId="70A204F6" w14:textId="77777777" w:rsidTr="003A3900">
        <w:trPr>
          <w:trHeight w:val="311"/>
        </w:trPr>
        <w:tc>
          <w:tcPr>
            <w:tcW w:w="2164" w:type="dxa"/>
          </w:tcPr>
          <w:p w14:paraId="46C352FC" w14:textId="77777777" w:rsidR="00792BA5" w:rsidRDefault="00792BA5" w:rsidP="001243EF">
            <w:pPr>
              <w:pStyle w:val="Tabellentext"/>
            </w:pPr>
            <w:proofErr w:type="spellStart"/>
            <w:r>
              <w:t>Acute</w:t>
            </w:r>
            <w:proofErr w:type="spellEnd"/>
            <w:r>
              <w:t xml:space="preserve"> </w:t>
            </w:r>
            <w:proofErr w:type="spellStart"/>
            <w:r>
              <w:t>Tox</w:t>
            </w:r>
            <w:proofErr w:type="spellEnd"/>
            <w:r>
              <w:t>. 3</w:t>
            </w:r>
          </w:p>
        </w:tc>
        <w:tc>
          <w:tcPr>
            <w:tcW w:w="1640" w:type="dxa"/>
            <w:vAlign w:val="center"/>
          </w:tcPr>
          <w:p w14:paraId="4E536882" w14:textId="77777777" w:rsidR="00792BA5" w:rsidRDefault="00792BA5" w:rsidP="001243EF">
            <w:pPr>
              <w:pStyle w:val="Tabellentext"/>
            </w:pPr>
            <w:r>
              <w:t>H331</w:t>
            </w:r>
          </w:p>
        </w:tc>
        <w:tc>
          <w:tcPr>
            <w:tcW w:w="5153" w:type="dxa"/>
            <w:vAlign w:val="center"/>
          </w:tcPr>
          <w:p w14:paraId="70DD30B2" w14:textId="77777777" w:rsidR="00792BA5" w:rsidRDefault="00792BA5" w:rsidP="001243EF">
            <w:pPr>
              <w:pStyle w:val="Tabellentext"/>
            </w:pPr>
            <w:r>
              <w:t>Giftig bei Einatmen</w:t>
            </w:r>
          </w:p>
        </w:tc>
      </w:tr>
      <w:tr w:rsidR="00792BA5" w:rsidRPr="00DE279E" w14:paraId="6A512A21" w14:textId="77777777" w:rsidTr="003A3900">
        <w:trPr>
          <w:cnfStyle w:val="000000100000" w:firstRow="0" w:lastRow="0" w:firstColumn="0" w:lastColumn="0" w:oddVBand="0" w:evenVBand="0" w:oddHBand="1" w:evenHBand="0" w:firstRowFirstColumn="0" w:firstRowLastColumn="0" w:lastRowFirstColumn="0" w:lastRowLastColumn="0"/>
          <w:trHeight w:val="311"/>
        </w:trPr>
        <w:tc>
          <w:tcPr>
            <w:tcW w:w="8957" w:type="dxa"/>
            <w:gridSpan w:val="3"/>
          </w:tcPr>
          <w:p w14:paraId="12A54B94" w14:textId="77777777" w:rsidR="00792BA5" w:rsidRPr="00DE279E" w:rsidRDefault="00792BA5" w:rsidP="001243EF">
            <w:pPr>
              <w:pStyle w:val="Tabellentextfett"/>
            </w:pPr>
            <w:r w:rsidRPr="00DE279E">
              <w:t>Stoffe mit spezifischer Zielorgan-Toxizität</w:t>
            </w:r>
          </w:p>
        </w:tc>
      </w:tr>
      <w:tr w:rsidR="00792BA5" w:rsidRPr="00E32126" w14:paraId="7237A005" w14:textId="77777777" w:rsidTr="003A3900">
        <w:trPr>
          <w:trHeight w:val="311"/>
        </w:trPr>
        <w:tc>
          <w:tcPr>
            <w:tcW w:w="2164" w:type="dxa"/>
          </w:tcPr>
          <w:p w14:paraId="46CA2B20" w14:textId="77777777" w:rsidR="00792BA5" w:rsidRPr="00E32126" w:rsidRDefault="00792BA5" w:rsidP="001243EF">
            <w:pPr>
              <w:pStyle w:val="Tabellentext"/>
            </w:pPr>
            <w:r>
              <w:t>STOT SE 1</w:t>
            </w:r>
          </w:p>
        </w:tc>
        <w:tc>
          <w:tcPr>
            <w:tcW w:w="1640" w:type="dxa"/>
          </w:tcPr>
          <w:p w14:paraId="54E53D1F" w14:textId="77777777" w:rsidR="00792BA5" w:rsidRPr="00E32126" w:rsidRDefault="00792BA5" w:rsidP="001243EF">
            <w:pPr>
              <w:pStyle w:val="Tabellentext"/>
            </w:pPr>
            <w:r>
              <w:t>H370</w:t>
            </w:r>
          </w:p>
        </w:tc>
        <w:tc>
          <w:tcPr>
            <w:tcW w:w="5153" w:type="dxa"/>
          </w:tcPr>
          <w:p w14:paraId="7966A793" w14:textId="77777777" w:rsidR="00792BA5" w:rsidRPr="00E32126" w:rsidRDefault="00792BA5" w:rsidP="001243EF">
            <w:pPr>
              <w:pStyle w:val="Tabellentext"/>
            </w:pPr>
            <w:r>
              <w:t>Schädigt die Organe</w:t>
            </w:r>
          </w:p>
        </w:tc>
      </w:tr>
      <w:tr w:rsidR="00792BA5" w:rsidRPr="00E32126" w14:paraId="774B92D2" w14:textId="77777777" w:rsidTr="003A3900">
        <w:trPr>
          <w:cnfStyle w:val="000000100000" w:firstRow="0" w:lastRow="0" w:firstColumn="0" w:lastColumn="0" w:oddVBand="0" w:evenVBand="0" w:oddHBand="1" w:evenHBand="0" w:firstRowFirstColumn="0" w:firstRowLastColumn="0" w:lastRowFirstColumn="0" w:lastRowLastColumn="0"/>
          <w:trHeight w:val="311"/>
        </w:trPr>
        <w:tc>
          <w:tcPr>
            <w:tcW w:w="2164" w:type="dxa"/>
          </w:tcPr>
          <w:p w14:paraId="5B02D620" w14:textId="77777777" w:rsidR="00792BA5" w:rsidRDefault="00792BA5" w:rsidP="001243EF">
            <w:pPr>
              <w:pStyle w:val="Tabellentext"/>
            </w:pPr>
            <w:r>
              <w:t>STOT SE 2</w:t>
            </w:r>
          </w:p>
        </w:tc>
        <w:tc>
          <w:tcPr>
            <w:tcW w:w="1640" w:type="dxa"/>
          </w:tcPr>
          <w:p w14:paraId="16DD82A3" w14:textId="77777777" w:rsidR="00792BA5" w:rsidRDefault="00792BA5" w:rsidP="001243EF">
            <w:pPr>
              <w:pStyle w:val="Tabellentext"/>
            </w:pPr>
            <w:r>
              <w:t>H371</w:t>
            </w:r>
          </w:p>
        </w:tc>
        <w:tc>
          <w:tcPr>
            <w:tcW w:w="5153" w:type="dxa"/>
          </w:tcPr>
          <w:p w14:paraId="4AE9681A" w14:textId="77777777" w:rsidR="00792BA5" w:rsidRDefault="00792BA5" w:rsidP="001243EF">
            <w:pPr>
              <w:pStyle w:val="Tabellentext"/>
            </w:pPr>
            <w:r>
              <w:t>Kann die Organe schädigen</w:t>
            </w:r>
          </w:p>
        </w:tc>
      </w:tr>
      <w:tr w:rsidR="00792BA5" w:rsidRPr="00E32126" w14:paraId="4ACDAF45" w14:textId="77777777" w:rsidTr="003A3900">
        <w:trPr>
          <w:trHeight w:val="311"/>
        </w:trPr>
        <w:tc>
          <w:tcPr>
            <w:tcW w:w="2164" w:type="dxa"/>
            <w:vAlign w:val="center"/>
          </w:tcPr>
          <w:p w14:paraId="294C7947" w14:textId="77777777" w:rsidR="00792BA5" w:rsidRPr="00E32126" w:rsidRDefault="00792BA5" w:rsidP="001243EF">
            <w:pPr>
              <w:pStyle w:val="Tabellentext"/>
            </w:pPr>
            <w:r>
              <w:t>STOT RE 1*</w:t>
            </w:r>
          </w:p>
        </w:tc>
        <w:tc>
          <w:tcPr>
            <w:tcW w:w="1640" w:type="dxa"/>
            <w:vAlign w:val="center"/>
          </w:tcPr>
          <w:p w14:paraId="75D55D59" w14:textId="77777777" w:rsidR="00792BA5" w:rsidRPr="00E32126" w:rsidRDefault="00792BA5" w:rsidP="001243EF">
            <w:pPr>
              <w:pStyle w:val="Tabellentext"/>
            </w:pPr>
            <w:r>
              <w:t>H372</w:t>
            </w:r>
          </w:p>
        </w:tc>
        <w:tc>
          <w:tcPr>
            <w:tcW w:w="5153" w:type="dxa"/>
          </w:tcPr>
          <w:p w14:paraId="156B2741" w14:textId="77777777" w:rsidR="00792BA5" w:rsidRPr="00E32126" w:rsidRDefault="00792BA5" w:rsidP="001243EF">
            <w:pPr>
              <w:pStyle w:val="Tabellentext"/>
            </w:pPr>
            <w:r>
              <w:t>Schädigt die Organe bei längerer oder wiederholter Exposition.</w:t>
            </w:r>
          </w:p>
        </w:tc>
      </w:tr>
      <w:tr w:rsidR="00792BA5" w:rsidRPr="00E32126" w14:paraId="43355CF0" w14:textId="77777777" w:rsidTr="003A3900">
        <w:trPr>
          <w:cnfStyle w:val="000000100000" w:firstRow="0" w:lastRow="0" w:firstColumn="0" w:lastColumn="0" w:oddVBand="0" w:evenVBand="0" w:oddHBand="1" w:evenHBand="0" w:firstRowFirstColumn="0" w:firstRowLastColumn="0" w:lastRowFirstColumn="0" w:lastRowLastColumn="0"/>
          <w:trHeight w:val="311"/>
        </w:trPr>
        <w:tc>
          <w:tcPr>
            <w:tcW w:w="2164" w:type="dxa"/>
            <w:vAlign w:val="center"/>
          </w:tcPr>
          <w:p w14:paraId="4FC9CEEB" w14:textId="77777777" w:rsidR="00792BA5" w:rsidRDefault="00792BA5" w:rsidP="001243EF">
            <w:pPr>
              <w:pStyle w:val="Tabellentext"/>
            </w:pPr>
            <w:r>
              <w:t>STOT RE 2*</w:t>
            </w:r>
          </w:p>
        </w:tc>
        <w:tc>
          <w:tcPr>
            <w:tcW w:w="1640" w:type="dxa"/>
            <w:vAlign w:val="center"/>
          </w:tcPr>
          <w:p w14:paraId="0C13F9F2" w14:textId="77777777" w:rsidR="00792BA5" w:rsidRDefault="00792BA5" w:rsidP="001243EF">
            <w:pPr>
              <w:pStyle w:val="Tabellentext"/>
            </w:pPr>
            <w:r>
              <w:t>H373</w:t>
            </w:r>
          </w:p>
        </w:tc>
        <w:tc>
          <w:tcPr>
            <w:tcW w:w="5153" w:type="dxa"/>
          </w:tcPr>
          <w:p w14:paraId="756873F4" w14:textId="77777777" w:rsidR="00792BA5" w:rsidRDefault="00792BA5" w:rsidP="001243EF">
            <w:pPr>
              <w:pStyle w:val="Tabellentext"/>
            </w:pPr>
            <w:r w:rsidRPr="00B15CD9">
              <w:t>Kann die Organe schädigen</w:t>
            </w:r>
            <w:r>
              <w:t xml:space="preserve"> bei längerer oder wiederholter Exposition. </w:t>
            </w:r>
          </w:p>
        </w:tc>
      </w:tr>
      <w:tr w:rsidR="00792BA5" w:rsidRPr="00DE279E" w14:paraId="096FFDE8" w14:textId="77777777" w:rsidTr="003A3900">
        <w:trPr>
          <w:trHeight w:val="311"/>
        </w:trPr>
        <w:tc>
          <w:tcPr>
            <w:tcW w:w="8957" w:type="dxa"/>
            <w:gridSpan w:val="3"/>
          </w:tcPr>
          <w:p w14:paraId="713B426B" w14:textId="77777777" w:rsidR="00792BA5" w:rsidRPr="00792BA5" w:rsidRDefault="00792BA5" w:rsidP="001243EF">
            <w:pPr>
              <w:pStyle w:val="Tabellentextfett"/>
            </w:pPr>
            <w:r w:rsidRPr="00792BA5">
              <w:t>umweltgefährdende Stoffe</w:t>
            </w:r>
          </w:p>
        </w:tc>
      </w:tr>
      <w:tr w:rsidR="00792BA5" w:rsidRPr="00E32126" w14:paraId="57220A27" w14:textId="77777777" w:rsidTr="003A3900">
        <w:trPr>
          <w:cnfStyle w:val="000000100000" w:firstRow="0" w:lastRow="0" w:firstColumn="0" w:lastColumn="0" w:oddVBand="0" w:evenVBand="0" w:oddHBand="1" w:evenHBand="0" w:firstRowFirstColumn="0" w:firstRowLastColumn="0" w:lastRowFirstColumn="0" w:lastRowLastColumn="0"/>
          <w:trHeight w:val="311"/>
        </w:trPr>
        <w:tc>
          <w:tcPr>
            <w:tcW w:w="2164" w:type="dxa"/>
          </w:tcPr>
          <w:p w14:paraId="286C6AA6" w14:textId="77777777" w:rsidR="00792BA5" w:rsidRPr="00E32126" w:rsidRDefault="00792BA5" w:rsidP="001243EF">
            <w:pPr>
              <w:pStyle w:val="Tabellentext"/>
            </w:pPr>
            <w:proofErr w:type="spellStart"/>
            <w:r>
              <w:t>Aquatic</w:t>
            </w:r>
            <w:proofErr w:type="spellEnd"/>
            <w:r>
              <w:t xml:space="preserve"> </w:t>
            </w:r>
            <w:proofErr w:type="spellStart"/>
            <w:r>
              <w:t>acute</w:t>
            </w:r>
            <w:proofErr w:type="spellEnd"/>
            <w:r>
              <w:t xml:space="preserve"> 1</w:t>
            </w:r>
          </w:p>
        </w:tc>
        <w:tc>
          <w:tcPr>
            <w:tcW w:w="1640" w:type="dxa"/>
          </w:tcPr>
          <w:p w14:paraId="62443313" w14:textId="77777777" w:rsidR="00792BA5" w:rsidRPr="00E32126" w:rsidRDefault="00792BA5" w:rsidP="001243EF">
            <w:pPr>
              <w:pStyle w:val="Tabellentext"/>
            </w:pPr>
            <w:r>
              <w:t>H400</w:t>
            </w:r>
          </w:p>
        </w:tc>
        <w:tc>
          <w:tcPr>
            <w:tcW w:w="5153" w:type="dxa"/>
          </w:tcPr>
          <w:p w14:paraId="6D6858C2" w14:textId="77777777" w:rsidR="00792BA5" w:rsidRPr="00E32126" w:rsidRDefault="00792BA5" w:rsidP="001243EF">
            <w:pPr>
              <w:pStyle w:val="Tabellentext"/>
            </w:pPr>
            <w:r>
              <w:t>Sehr giftig für Wasserorganismen.</w:t>
            </w:r>
          </w:p>
        </w:tc>
      </w:tr>
      <w:tr w:rsidR="00792BA5" w:rsidRPr="00E32126" w14:paraId="43C5252B" w14:textId="77777777" w:rsidTr="003A3900">
        <w:trPr>
          <w:trHeight w:val="311"/>
        </w:trPr>
        <w:tc>
          <w:tcPr>
            <w:tcW w:w="2164" w:type="dxa"/>
            <w:vAlign w:val="center"/>
          </w:tcPr>
          <w:p w14:paraId="4FEC67CA" w14:textId="77777777" w:rsidR="00792BA5" w:rsidRPr="00E32126" w:rsidRDefault="00792BA5" w:rsidP="001243EF">
            <w:pPr>
              <w:pStyle w:val="Tabellentext"/>
            </w:pPr>
            <w:proofErr w:type="spellStart"/>
            <w:r>
              <w:t>Aquatic</w:t>
            </w:r>
            <w:proofErr w:type="spellEnd"/>
            <w:r>
              <w:t xml:space="preserve"> </w:t>
            </w:r>
            <w:proofErr w:type="spellStart"/>
            <w:r>
              <w:t>chronic</w:t>
            </w:r>
            <w:proofErr w:type="spellEnd"/>
            <w:r>
              <w:t xml:space="preserve"> 1</w:t>
            </w:r>
          </w:p>
        </w:tc>
        <w:tc>
          <w:tcPr>
            <w:tcW w:w="1640" w:type="dxa"/>
            <w:vAlign w:val="center"/>
          </w:tcPr>
          <w:p w14:paraId="3B568042" w14:textId="77777777" w:rsidR="00792BA5" w:rsidRPr="00E32126" w:rsidRDefault="00792BA5" w:rsidP="001243EF">
            <w:pPr>
              <w:pStyle w:val="Tabellentext"/>
            </w:pPr>
            <w:r>
              <w:t>H410</w:t>
            </w:r>
          </w:p>
        </w:tc>
        <w:tc>
          <w:tcPr>
            <w:tcW w:w="5153" w:type="dxa"/>
          </w:tcPr>
          <w:p w14:paraId="00832F95" w14:textId="77777777" w:rsidR="00792BA5" w:rsidRPr="00E32126" w:rsidRDefault="00792BA5" w:rsidP="001243EF">
            <w:pPr>
              <w:pStyle w:val="Tabellentext"/>
            </w:pPr>
            <w:r>
              <w:t>Sehr giftig für Wasserorganismen, mit langfristiger Wirkung.</w:t>
            </w:r>
          </w:p>
        </w:tc>
      </w:tr>
      <w:tr w:rsidR="00792BA5" w:rsidRPr="00E32126" w14:paraId="79822C68" w14:textId="77777777" w:rsidTr="003A3900">
        <w:trPr>
          <w:cnfStyle w:val="000000100000" w:firstRow="0" w:lastRow="0" w:firstColumn="0" w:lastColumn="0" w:oddVBand="0" w:evenVBand="0" w:oddHBand="1" w:evenHBand="0" w:firstRowFirstColumn="0" w:firstRowLastColumn="0" w:lastRowFirstColumn="0" w:lastRowLastColumn="0"/>
          <w:trHeight w:val="311"/>
        </w:trPr>
        <w:tc>
          <w:tcPr>
            <w:tcW w:w="2164" w:type="dxa"/>
            <w:vAlign w:val="center"/>
          </w:tcPr>
          <w:p w14:paraId="7D2FCBBE" w14:textId="77777777" w:rsidR="00792BA5" w:rsidRPr="00E32126" w:rsidRDefault="00792BA5" w:rsidP="001243EF">
            <w:pPr>
              <w:pStyle w:val="Tabellentext"/>
            </w:pPr>
            <w:proofErr w:type="spellStart"/>
            <w:r>
              <w:t>Aquatic</w:t>
            </w:r>
            <w:proofErr w:type="spellEnd"/>
            <w:r>
              <w:t xml:space="preserve"> </w:t>
            </w:r>
            <w:proofErr w:type="spellStart"/>
            <w:r>
              <w:t>chronic</w:t>
            </w:r>
            <w:proofErr w:type="spellEnd"/>
            <w:r>
              <w:t xml:space="preserve"> 2</w:t>
            </w:r>
          </w:p>
        </w:tc>
        <w:tc>
          <w:tcPr>
            <w:tcW w:w="1640" w:type="dxa"/>
            <w:vAlign w:val="center"/>
          </w:tcPr>
          <w:p w14:paraId="2DA83D9F" w14:textId="77777777" w:rsidR="00792BA5" w:rsidRPr="00E32126" w:rsidRDefault="00792BA5" w:rsidP="001243EF">
            <w:pPr>
              <w:pStyle w:val="Tabellentext"/>
            </w:pPr>
            <w:r>
              <w:t>H411</w:t>
            </w:r>
          </w:p>
        </w:tc>
        <w:tc>
          <w:tcPr>
            <w:tcW w:w="5153" w:type="dxa"/>
          </w:tcPr>
          <w:p w14:paraId="2A50D182" w14:textId="77777777" w:rsidR="00792BA5" w:rsidRPr="00E32126" w:rsidRDefault="00792BA5" w:rsidP="001243EF">
            <w:pPr>
              <w:pStyle w:val="Tabellentext"/>
            </w:pPr>
            <w:r>
              <w:t>Giftig für Wasserorganismen, mit langfristiger Wirkung.</w:t>
            </w:r>
          </w:p>
        </w:tc>
      </w:tr>
    </w:tbl>
    <w:p w14:paraId="75336FB4" w14:textId="42ADA1FB" w:rsidR="001243EF" w:rsidRPr="00315FE6" w:rsidRDefault="001243EF" w:rsidP="00315FE6">
      <w:pPr>
        <w:pStyle w:val="Tabellen-undAbbildungsunterschrift"/>
        <w:ind w:left="357" w:hanging="357"/>
      </w:pPr>
      <w:r>
        <w:t xml:space="preserve">* </w:t>
      </w:r>
      <w:r>
        <w:tab/>
      </w:r>
      <w:r w:rsidRPr="00315FE6">
        <w:t xml:space="preserve">Basiert die Einstufung und toxikologischen Begründung des Stoffes auf der Einstufung der lungengängigen Fraktion des Stoffes (Stäube) und bezieht sich nicht auf den Stoff generell, stellt die Einstufung als STOT RE 1 und STOT RE 2 kein Ausschlusskriterium nach </w:t>
      </w:r>
      <w:r w:rsidR="005157B0">
        <w:t xml:space="preserve">Kriterium 1 „Allgemeine stoffliche Anforderungen“ </w:t>
      </w:r>
      <w:r w:rsidRPr="00315FE6">
        <w:t>Ausschluss von Stoffen dar. Hiervon ausgeschlossen sind asbesthaltige Stäube.</w:t>
      </w:r>
    </w:p>
    <w:p w14:paraId="5E9D5F41" w14:textId="51513870" w:rsidR="00FA4D2B" w:rsidRPr="00C01EC5" w:rsidRDefault="001243EF" w:rsidP="001243EF">
      <w:pPr>
        <w:pStyle w:val="Tabellen-undAbbildungsunterschrift"/>
      </w:pPr>
      <w:r>
        <w:t>Quelle: Umweltzeichen Blauer Engel für emissionsarme Innenwandfarben (DE-UZ 102, Ausgabe Januar 2019)</w:t>
      </w:r>
    </w:p>
    <w:bookmarkEnd w:id="0"/>
    <w:bookmarkEnd w:id="2"/>
    <w:bookmarkEnd w:id="3"/>
    <w:p w14:paraId="565C3AF8" w14:textId="74FE5D81" w:rsidR="001243EF" w:rsidRDefault="001243EF" w:rsidP="001243EF">
      <w:pPr>
        <w:pStyle w:val="Textkrper"/>
      </w:pPr>
      <w:r>
        <w:br w:type="page"/>
      </w:r>
    </w:p>
    <w:p w14:paraId="6C083D14" w14:textId="77777777" w:rsidR="001243EF" w:rsidRPr="001243EF" w:rsidRDefault="001243EF" w:rsidP="002B12C5">
      <w:pPr>
        <w:pStyle w:val="berschrift1"/>
      </w:pPr>
      <w:r w:rsidRPr="001243EF">
        <w:t>B</w:t>
      </w:r>
      <w:r w:rsidRPr="001243EF">
        <w:tab/>
        <w:t xml:space="preserve">Anhang: </w:t>
      </w:r>
      <w:proofErr w:type="spellStart"/>
      <w:r w:rsidRPr="001243EF">
        <w:t>Flüssigchromatographische</w:t>
      </w:r>
      <w:proofErr w:type="spellEnd"/>
      <w:r w:rsidRPr="001243EF">
        <w:t xml:space="preserve"> Untersuchung (HPLC/UV-Detektion) zur Bestimmung des Gehaltes an Konservierungsmitteln (</w:t>
      </w:r>
      <w:proofErr w:type="spellStart"/>
      <w:r w:rsidRPr="001243EF">
        <w:t>Isothiazolinone</w:t>
      </w:r>
      <w:proofErr w:type="spellEnd"/>
      <w:r w:rsidRPr="001243EF">
        <w:t>) und Bestimmung des freien Formaldehyds</w:t>
      </w:r>
    </w:p>
    <w:p w14:paraId="131C23FA" w14:textId="77777777" w:rsidR="001243EF" w:rsidRPr="001243EF" w:rsidRDefault="001243EF" w:rsidP="001243EF">
      <w:pPr>
        <w:pStyle w:val="Textkrperfett"/>
        <w:rPr>
          <w:rStyle w:val="TextkrperfettZchn"/>
          <w:b/>
        </w:rPr>
      </w:pPr>
      <w:r w:rsidRPr="001243EF">
        <w:t>1</w:t>
      </w:r>
      <w:r w:rsidRPr="001243EF">
        <w:tab/>
      </w:r>
      <w:proofErr w:type="spellStart"/>
      <w:r w:rsidRPr="001243EF">
        <w:rPr>
          <w:rStyle w:val="TextkrperfettZchn"/>
          <w:b/>
        </w:rPr>
        <w:t>Flüssigchromatographische</w:t>
      </w:r>
      <w:proofErr w:type="spellEnd"/>
      <w:r w:rsidRPr="001243EF">
        <w:rPr>
          <w:rStyle w:val="TextkrperfettZchn"/>
          <w:b/>
        </w:rPr>
        <w:t xml:space="preserve"> Untersuchung (HPLC/UV-Detektion) zur Bestimmung des Gehaltes an </w:t>
      </w:r>
      <w:proofErr w:type="spellStart"/>
      <w:r w:rsidRPr="001243EF">
        <w:rPr>
          <w:rStyle w:val="TextkrperfettZchn"/>
          <w:b/>
        </w:rPr>
        <w:t>Isothiazolinonen</w:t>
      </w:r>
      <w:proofErr w:type="spellEnd"/>
    </w:p>
    <w:p w14:paraId="399CDD1A" w14:textId="77777777" w:rsidR="001243EF" w:rsidRDefault="001243EF" w:rsidP="001243EF">
      <w:pPr>
        <w:pStyle w:val="Textkrper"/>
      </w:pPr>
      <w:r>
        <w:t xml:space="preserve">Die zu analysierende Probe wird mit Methanol versetzt und auf einem Magnetrührer homogenisiert. Anschließend wird die Suspension zentrifugiert und der Überstand über einen Spritzenvorsatzfilter (Porengröße: 0,2 μm) filtriert. </w:t>
      </w:r>
    </w:p>
    <w:p w14:paraId="51DAF986" w14:textId="77777777" w:rsidR="001243EF" w:rsidRDefault="001243EF" w:rsidP="001243EF">
      <w:pPr>
        <w:pStyle w:val="Textkrper"/>
      </w:pPr>
      <w:r>
        <w:t xml:space="preserve">Der so erhaltene Methanol-Extrakt ist </w:t>
      </w:r>
      <w:proofErr w:type="spellStart"/>
      <w:r>
        <w:t>flüssigchromatographisch</w:t>
      </w:r>
      <w:proofErr w:type="spellEnd"/>
      <w:r>
        <w:t xml:space="preserve"> (HPLC/UV-Detektion) zu untersuchen und vorhandene </w:t>
      </w:r>
      <w:proofErr w:type="spellStart"/>
      <w:r>
        <w:t>Isothiazolinone</w:t>
      </w:r>
      <w:proofErr w:type="spellEnd"/>
      <w:r>
        <w:t xml:space="preserve"> anhand ihrer Retentionszeiten zu identifizieren.</w:t>
      </w:r>
    </w:p>
    <w:p w14:paraId="58A363AB" w14:textId="77777777" w:rsidR="001243EF" w:rsidRDefault="001243EF" w:rsidP="001243EF">
      <w:pPr>
        <w:pStyle w:val="Textkrper"/>
      </w:pPr>
      <w:r>
        <w:t xml:space="preserve">Die analytischen Untersuchungen des Gehaltes an </w:t>
      </w:r>
      <w:proofErr w:type="spellStart"/>
      <w:r>
        <w:t>Isothiazolinonen</w:t>
      </w:r>
      <w:proofErr w:type="spellEnd"/>
      <w:r>
        <w:t xml:space="preserve"> erfolgt jeweils in Doppelbestimmung, die Quantifizierung erfolgt über die Methode des externen Standards.</w:t>
      </w:r>
    </w:p>
    <w:p w14:paraId="0F3376BC" w14:textId="77777777" w:rsidR="001243EF" w:rsidRDefault="001243EF" w:rsidP="001243EF">
      <w:pPr>
        <w:pStyle w:val="Textkrper"/>
      </w:pPr>
      <w:r>
        <w:t>Werden bei der Analyse weitere Konservierungsmittel detektiert, sind diese im Prüfbericht ebenfalls anzugeben.</w:t>
      </w:r>
    </w:p>
    <w:p w14:paraId="445EB515" w14:textId="1D174045" w:rsidR="001243EF" w:rsidRPr="001243EF" w:rsidRDefault="001243EF" w:rsidP="001243EF">
      <w:pPr>
        <w:pStyle w:val="Textkrperfett"/>
      </w:pPr>
      <w:r w:rsidRPr="001243EF">
        <w:t>2</w:t>
      </w:r>
      <w:r w:rsidRPr="001243EF">
        <w:tab/>
        <w:t xml:space="preserve">Bestimmung des freien Formaldehyds: </w:t>
      </w:r>
    </w:p>
    <w:p w14:paraId="0055B59C" w14:textId="77777777" w:rsidR="001243EF" w:rsidRDefault="001243EF" w:rsidP="001243EF">
      <w:pPr>
        <w:pStyle w:val="Textkrper"/>
      </w:pPr>
      <w:r>
        <w:t xml:space="preserve">Zur Prüfung sind zwei Verfahren zulässig: </w:t>
      </w:r>
    </w:p>
    <w:p w14:paraId="7324C004" w14:textId="7CB866D3" w:rsidR="001243EF" w:rsidRDefault="001243EF" w:rsidP="001243EF">
      <w:pPr>
        <w:pStyle w:val="Aufzhlunga"/>
        <w:numPr>
          <w:ilvl w:val="0"/>
          <w:numId w:val="21"/>
        </w:numPr>
        <w:ind w:left="357" w:hanging="357"/>
      </w:pPr>
      <w:r>
        <w:t>gemäß Richtlinie zur Bestimmung der Formaldehydkonzentration in wasserverdünnbaren Dispersionsfarben und verwandte Produkte („</w:t>
      </w:r>
      <w:proofErr w:type="spellStart"/>
      <w:r>
        <w:t>VdL</w:t>
      </w:r>
      <w:proofErr w:type="spellEnd"/>
      <w:r>
        <w:t xml:space="preserve">-Richtlinie 03 Formaldehydbestimmung“), </w:t>
      </w:r>
    </w:p>
    <w:p w14:paraId="494DAEEA" w14:textId="2AF4448E" w:rsidR="001243EF" w:rsidRDefault="001243EF" w:rsidP="001243EF">
      <w:pPr>
        <w:pStyle w:val="Aufzhlunga"/>
        <w:numPr>
          <w:ilvl w:val="0"/>
          <w:numId w:val="21"/>
        </w:numPr>
        <w:ind w:left="357" w:hanging="357"/>
      </w:pPr>
      <w:r>
        <w:t xml:space="preserve">analog a), jedoch Bestimmung der freien Formaldehydkonzentration im Produkt mit Hochdruckflüssigchromatographie (HPLC), wenn das Prüflabor die Vergleichbarkeit zur </w:t>
      </w:r>
      <w:proofErr w:type="spellStart"/>
      <w:r>
        <w:t>VdL</w:t>
      </w:r>
      <w:proofErr w:type="spellEnd"/>
      <w:r>
        <w:t>-RL 03 nachweisen kann.</w:t>
      </w:r>
    </w:p>
    <w:p w14:paraId="5D5602DD" w14:textId="3AE65EEE" w:rsidR="005B230D" w:rsidRPr="00175CBD" w:rsidRDefault="001243EF" w:rsidP="001243EF">
      <w:pPr>
        <w:pStyle w:val="Textkrper"/>
      </w:pPr>
      <w:r>
        <w:t>Der Nachweis ist als Doppelbestimmung durchzuführen.</w:t>
      </w:r>
    </w:p>
    <w:sectPr w:rsidR="005B230D" w:rsidRPr="00175CBD" w:rsidSect="0031680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5EFFB" w14:textId="77777777" w:rsidR="005159C2" w:rsidRDefault="005159C2">
      <w:r>
        <w:separator/>
      </w:r>
    </w:p>
    <w:p w14:paraId="2AC4338C" w14:textId="77777777" w:rsidR="005159C2" w:rsidRDefault="005159C2"/>
    <w:p w14:paraId="43FA40A6" w14:textId="77777777" w:rsidR="005159C2" w:rsidRDefault="005159C2"/>
    <w:p w14:paraId="728F0262" w14:textId="77777777" w:rsidR="005159C2" w:rsidRDefault="005159C2"/>
    <w:p w14:paraId="735B60E2" w14:textId="77777777" w:rsidR="005159C2" w:rsidRDefault="005159C2"/>
  </w:endnote>
  <w:endnote w:type="continuationSeparator" w:id="0">
    <w:p w14:paraId="19AE7CB4" w14:textId="77777777" w:rsidR="005159C2" w:rsidRDefault="005159C2">
      <w:r>
        <w:continuationSeparator/>
      </w:r>
    </w:p>
    <w:p w14:paraId="55F2D45D" w14:textId="77777777" w:rsidR="005159C2" w:rsidRDefault="005159C2"/>
    <w:p w14:paraId="5FC9DEDB" w14:textId="77777777" w:rsidR="005159C2" w:rsidRDefault="005159C2"/>
    <w:p w14:paraId="5E77670D" w14:textId="77777777" w:rsidR="005159C2" w:rsidRDefault="005159C2"/>
    <w:p w14:paraId="25B9425A" w14:textId="77777777" w:rsidR="005159C2" w:rsidRDefault="00515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Calibri"/>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altName w:val="Calibri"/>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panose1 w:val="020B0604030101020102"/>
    <w:charset w:val="00"/>
    <w:family w:val="swiss"/>
    <w:pitch w:val="variable"/>
    <w:sig w:usb0="800000EF" w:usb1="5000207B" w:usb2="00000000" w:usb3="00000000" w:csb0="00000001" w:csb1="00000000"/>
  </w:font>
  <w:font w:name="Meta Offc Book">
    <w:altName w:val="Meta Offc"/>
    <w:charset w:val="00"/>
    <w:family w:val="swiss"/>
    <w:pitch w:val="variable"/>
    <w:sig w:usb0="800000EF" w:usb1="5000207B" w:usb2="00000000" w:usb3="00000000" w:csb0="00000001" w:csb1="00000000"/>
  </w:font>
  <w:font w:name="Meta Serif Offc">
    <w:panose1 w:val="02010504050101020102"/>
    <w:charset w:val="00"/>
    <w:family w:val="auto"/>
    <w:pitch w:val="variable"/>
    <w:sig w:usb0="800000EF" w:usb1="5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92969" w14:textId="77777777" w:rsidR="009B349A" w:rsidRPr="003213E9" w:rsidRDefault="009B349A" w:rsidP="003213E9">
    <w:pPr>
      <w:pStyle w:val="Fuzeile"/>
      <w:jc w:val="left"/>
    </w:pPr>
    <w:r w:rsidRPr="003213E9">
      <w:fldChar w:fldCharType="begin"/>
    </w:r>
    <w:r w:rsidRPr="003213E9">
      <w:instrText xml:space="preserve"> PAGE   \* MERGEFORMAT </w:instrText>
    </w:r>
    <w:r w:rsidRPr="003213E9">
      <w:fldChar w:fldCharType="separate"/>
    </w:r>
    <w:r w:rsidR="00316802">
      <w:rPr>
        <w:noProof/>
      </w:rPr>
      <w:t>12</w:t>
    </w:r>
    <w:r w:rsidRPr="003213E9">
      <w:rPr>
        <w:noProof/>
      </w:rPr>
      <w:fldChar w:fldCharType="end"/>
    </w:r>
  </w:p>
  <w:p w14:paraId="019661E3" w14:textId="77777777" w:rsidR="009B349A" w:rsidRDefault="009B349A" w:rsidP="003213E9">
    <w:pPr>
      <w:pStyle w:val="Fuzeile"/>
      <w:jc w:val="left"/>
    </w:pPr>
  </w:p>
  <w:p w14:paraId="0135F28C" w14:textId="77777777" w:rsidR="009B349A" w:rsidRDefault="00C032A5" w:rsidP="003213E9">
    <w:pPr>
      <w:pStyle w:val="Fuzeile"/>
      <w:jc w:val="left"/>
    </w:pPr>
    <w:r>
      <w:rPr>
        <w:noProof/>
      </w:rPr>
      <mc:AlternateContent>
        <mc:Choice Requires="wps">
          <w:drawing>
            <wp:anchor distT="0" distB="0" distL="114300" distR="114300" simplePos="0" relativeHeight="251661312" behindDoc="0" locked="0" layoutInCell="1" allowOverlap="1" wp14:anchorId="01930699" wp14:editId="0070D595">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11ABCF4"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178081"/>
      <w:docPartObj>
        <w:docPartGallery w:val="Page Numbers (Bottom of Page)"/>
        <w:docPartUnique/>
      </w:docPartObj>
    </w:sdtPr>
    <w:sdtEndPr/>
    <w:sdtContent>
      <w:p w14:paraId="4B099A18" w14:textId="77777777" w:rsidR="00BE73A1" w:rsidRPr="003213E9" w:rsidRDefault="00C032A5" w:rsidP="002946A5">
        <w:pPr>
          <w:pStyle w:val="Fuzeile"/>
        </w:pPr>
        <w:r>
          <w:rPr>
            <w:noProof/>
          </w:rPr>
          <mc:AlternateContent>
            <mc:Choice Requires="wps">
              <w:drawing>
                <wp:anchor distT="0" distB="0" distL="114300" distR="114300" simplePos="0" relativeHeight="251658240" behindDoc="0" locked="0" layoutInCell="1" allowOverlap="1" wp14:anchorId="03BE58E0" wp14:editId="38643AA4">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9479981"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" fillcolor="#5ead35 [3214]" stroked="f">
                  <w10:wrap anchorx="page" anchory="page"/>
                </v:rect>
              </w:pict>
            </mc:Fallback>
          </mc:AlternateContent>
        </w:r>
        <w:r w:rsidR="00BE73A1">
          <w:ptab w:relativeTo="margin" w:alignment="center" w:leader="none"/>
        </w:r>
        <w:r w:rsidR="00316802" w:rsidRPr="003213E9">
          <w:fldChar w:fldCharType="begin"/>
        </w:r>
        <w:r w:rsidR="00316802" w:rsidRPr="003213E9">
          <w:instrText xml:space="preserve"> PAGE   \* MERGEFORMAT </w:instrText>
        </w:r>
        <w:r w:rsidR="00316802" w:rsidRPr="003213E9">
          <w:fldChar w:fldCharType="separate"/>
        </w:r>
        <w:r w:rsidR="001906D1">
          <w:rPr>
            <w:noProof/>
          </w:rPr>
          <w:t>4</w:t>
        </w:r>
        <w:r w:rsidR="00316802" w:rsidRPr="003213E9">
          <w:rPr>
            <w:noProof/>
          </w:rPr>
          <w:fldChar w:fldCharType="end"/>
        </w:r>
      </w:p>
    </w:sdtContent>
  </w:sdt>
  <w:p w14:paraId="4A696AF7" w14:textId="77777777" w:rsidR="00BE73A1" w:rsidRPr="004B3601" w:rsidRDefault="00BE73A1" w:rsidP="002946A5">
    <w:pPr>
      <w:pStyle w:val="Fuzeile"/>
    </w:pPr>
  </w:p>
  <w:p w14:paraId="4939589A" w14:textId="77777777" w:rsidR="00C34BD1" w:rsidRDefault="00C34B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23508" w14:textId="77777777" w:rsidR="005159C2" w:rsidRPr="00EF48A2" w:rsidRDefault="005159C2" w:rsidP="00EF48A2">
      <w:pPr>
        <w:pStyle w:val="Fuzeile"/>
        <w:pBdr>
          <w:bottom w:val="single" w:sz="6" w:space="1" w:color="auto"/>
        </w:pBdr>
        <w:spacing w:line="240" w:lineRule="auto"/>
        <w:ind w:right="-23"/>
        <w:rPr>
          <w:sz w:val="2"/>
          <w:szCs w:val="2"/>
        </w:rPr>
      </w:pPr>
    </w:p>
    <w:p w14:paraId="26E95384" w14:textId="77777777" w:rsidR="005159C2" w:rsidRDefault="005159C2"/>
  </w:footnote>
  <w:footnote w:type="continuationSeparator" w:id="0">
    <w:p w14:paraId="0917746C" w14:textId="77777777" w:rsidR="005159C2" w:rsidRDefault="005159C2">
      <w:r>
        <w:continuationSeparator/>
      </w:r>
    </w:p>
    <w:p w14:paraId="63DA17F1" w14:textId="77777777" w:rsidR="005159C2" w:rsidRDefault="005159C2"/>
    <w:p w14:paraId="40D5680B" w14:textId="77777777" w:rsidR="005159C2" w:rsidRDefault="005159C2"/>
    <w:p w14:paraId="560552A0" w14:textId="77777777" w:rsidR="005159C2" w:rsidRDefault="005159C2"/>
    <w:p w14:paraId="253F9BCB" w14:textId="77777777" w:rsidR="005159C2" w:rsidRDefault="005159C2"/>
  </w:footnote>
  <w:footnote w:id="1">
    <w:p w14:paraId="782A65AF" w14:textId="77777777" w:rsidR="003465DA" w:rsidRDefault="003465DA" w:rsidP="002B12C5">
      <w:pPr>
        <w:pStyle w:val="Funotentext"/>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2">
    <w:p w14:paraId="204CFC4A" w14:textId="41E714DE" w:rsidR="00704810" w:rsidRDefault="00704810" w:rsidP="002B12C5">
      <w:pPr>
        <w:pStyle w:val="Funotentext"/>
      </w:pPr>
      <w:r>
        <w:rPr>
          <w:rStyle w:val="Funotenzeichen"/>
        </w:rPr>
        <w:footnoteRef/>
      </w:r>
      <w:r>
        <w:t xml:space="preserve"> </w:t>
      </w:r>
      <w:r>
        <w:tab/>
      </w:r>
      <w:r w:rsidRPr="00704810">
        <w:t>Sofern für das spezifische Produkt weitere Stoffbeschränkungen aus anderen Vorschriften resultieren, sind diese ebenfalls einzuhalten.</w:t>
      </w:r>
    </w:p>
  </w:footnote>
  <w:footnote w:id="3">
    <w:p w14:paraId="49B56A9F" w14:textId="01917679" w:rsidR="004574A0" w:rsidRDefault="004574A0" w:rsidP="002B12C5">
      <w:pPr>
        <w:pStyle w:val="Funotentext"/>
      </w:pPr>
      <w:r>
        <w:rPr>
          <w:rStyle w:val="Funotenzeichen"/>
        </w:rPr>
        <w:footnoteRef/>
      </w:r>
      <w:r>
        <w:t xml:space="preserve"> </w:t>
      </w:r>
      <w:r>
        <w:tab/>
      </w:r>
      <w:r w:rsidR="002B12C5" w:rsidRPr="002B12C5">
        <w:t xml:space="preserve">Die REACH-Kandidatenliste in der jeweils aktuellen Fassung findet sich unter: </w:t>
      </w:r>
      <w:hyperlink r:id="rId1" w:history="1">
        <w:r w:rsidR="002B12C5" w:rsidRPr="00A2402E">
          <w:rPr>
            <w:rStyle w:val="Hyperlink"/>
            <w:sz w:val="18"/>
          </w:rPr>
          <w:t>https://www.echa.europa.eu/candidate-list-table</w:t>
        </w:r>
      </w:hyperlink>
      <w:r w:rsidRPr="004574A0">
        <w:t>.</w:t>
      </w:r>
    </w:p>
  </w:footnote>
  <w:footnote w:id="4">
    <w:p w14:paraId="12AE5ED2" w14:textId="447AB348" w:rsidR="00704810" w:rsidRDefault="00704810" w:rsidP="002B12C5">
      <w:pPr>
        <w:pStyle w:val="Funotentext"/>
      </w:pPr>
      <w:r>
        <w:rPr>
          <w:rStyle w:val="Funotenzeichen"/>
        </w:rPr>
        <w:footnoteRef/>
      </w:r>
      <w:r>
        <w:t xml:space="preserve"> </w:t>
      </w:r>
      <w:r>
        <w:tab/>
      </w:r>
      <w:r w:rsidRPr="00704810">
        <w:t>Die TRGS 905 führt solche CMR-Stoffe auf, die bislang nicht harmonisiert eingestuft sind bzw. bei denen der Ausschuss für Gefahrstoffe zu einer abweichenden Einstufung kommt. Als Arbeitshilfe kann auch auf die CMR-Gesamtliste der gesetzlichen Unfallversicherung zurückgegriffen</w:t>
      </w:r>
      <w:r w:rsidR="002B12C5">
        <w:t xml:space="preserve"> werden</w:t>
      </w:r>
      <w:r w:rsidRPr="00704810">
        <w:t xml:space="preserve">: </w:t>
      </w:r>
      <w:hyperlink r:id="rId2" w:history="1">
        <w:r w:rsidR="002B12C5" w:rsidRPr="00A2402E">
          <w:rPr>
            <w:rStyle w:val="Hyperlink"/>
            <w:sz w:val="18"/>
          </w:rPr>
          <w:t>https://www.baua.de/DE/Themen/Arbeitsgestaltung-im-Betrieb/Gefahrstoffe/Einstufung-und-Kennzeichnung/Einstufung-und-Kennzeichnung_node.html</w:t>
        </w:r>
      </w:hyperlink>
      <w:r w:rsidRPr="00704810">
        <w:t>.</w:t>
      </w:r>
    </w:p>
  </w:footnote>
  <w:footnote w:id="5">
    <w:p w14:paraId="7C3EEAE2" w14:textId="3E1C3FAC" w:rsidR="008239BC" w:rsidRDefault="008239BC" w:rsidP="002B12C5">
      <w:pPr>
        <w:pStyle w:val="Funotentext"/>
      </w:pPr>
      <w:r>
        <w:rPr>
          <w:rStyle w:val="Funotenzeichen"/>
        </w:rPr>
        <w:footnoteRef/>
      </w:r>
      <w:r>
        <w:t xml:space="preserve"> </w:t>
      </w:r>
      <w:r>
        <w:tab/>
      </w:r>
      <w:r w:rsidRPr="008239BC">
        <w:t>Ausgenommen Titandioxid, wenn das Produkt als flüssiges Gemisch in Verkehr gebracht wird, da sich die Einstufung nur auf einatembare Stäube bezieht.</w:t>
      </w:r>
    </w:p>
  </w:footnote>
  <w:footnote w:id="6">
    <w:p w14:paraId="0AD7114D" w14:textId="1BC035F2" w:rsidR="00704810" w:rsidRDefault="00704810" w:rsidP="002B12C5">
      <w:pPr>
        <w:pStyle w:val="Funotentext"/>
      </w:pPr>
      <w:r>
        <w:rPr>
          <w:rStyle w:val="Funotenzeichen"/>
        </w:rPr>
        <w:footnoteRef/>
      </w:r>
      <w:r>
        <w:t xml:space="preserve"> </w:t>
      </w:r>
      <w:r>
        <w:tab/>
      </w:r>
      <w:r w:rsidRPr="00704810">
        <w:t>PT 6 und PT 7 und PT 10 gemäß der Verordnung (EU) Nr. 528/2012 über die Bereitstellung auf dem Markt und die Verwendung von Biozidprodukten.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44F4" w14:textId="77777777" w:rsidR="00BE73A1" w:rsidRDefault="003213E9" w:rsidP="00DC6B8F">
    <w:pPr>
      <w:pStyle w:val="Kopfzeile"/>
    </w:pPr>
    <w:r w:rsidRPr="004B3601">
      <w:rPr>
        <w:b/>
      </w:rPr>
      <w:t>UBA Texte</w:t>
    </w:r>
    <w:r>
      <w:t xml:space="preserve"> </w:t>
    </w:r>
    <w:r w:rsidRPr="0084338A">
      <w:t xml:space="preserve">Kopfzeile: bitte </w:t>
    </w:r>
    <w:r>
      <w:t xml:space="preserve"> </w:t>
    </w:r>
    <w:r w:rsidRPr="0084338A">
      <w:t>Namen des Projektes / Berichtes eintragen (evtl. in Kurzform)</w:t>
    </w:r>
  </w:p>
  <w:p w14:paraId="60FE261F" w14:textId="77777777" w:rsidR="00C34BD1" w:rsidRDefault="00C34B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7B4C" w14:textId="79B045F7" w:rsidR="00BE73A1" w:rsidRPr="0084338A" w:rsidRDefault="00FA4D2B" w:rsidP="00DC6B8F">
    <w:pPr>
      <w:pStyle w:val="Kopfzeile"/>
    </w:pPr>
    <w:r w:rsidRPr="00FA4D2B">
      <w:t>Anbieterfragebogen zur umweltf</w:t>
    </w:r>
    <w:r>
      <w:t xml:space="preserve">reundlichen </w:t>
    </w:r>
    <w:r w:rsidR="00F9464C">
      <w:t xml:space="preserve">öffentlichen </w:t>
    </w:r>
    <w:r>
      <w:t xml:space="preserve">Beschaffung </w:t>
    </w:r>
    <w:r w:rsidR="00C16711">
      <w:t xml:space="preserve">von </w:t>
    </w:r>
    <w:sdt>
      <w:sdtPr>
        <w:id w:val="258036152"/>
        <w:placeholder>
          <w:docPart w:val="ABE75C09635A4F008965919270E1CD8E"/>
        </w:placeholder>
      </w:sdtPr>
      <w:sdtEndPr/>
      <w:sdtContent>
        <w:r w:rsidR="00C16711">
          <w:t>e</w:t>
        </w:r>
        <w:r w:rsidR="00CE0E93" w:rsidRPr="00CE0E93">
          <w:t>missionsarme</w:t>
        </w:r>
        <w:r w:rsidR="00C16711">
          <w:t>n</w:t>
        </w:r>
        <w:r w:rsidR="00CE0E93" w:rsidRPr="00CE0E93">
          <w:t xml:space="preserve"> Innenwandfarben</w:t>
        </w:r>
      </w:sdtContent>
    </w:sdt>
  </w:p>
  <w:p w14:paraId="76BCE0AF" w14:textId="77777777" w:rsidR="00C34BD1" w:rsidRPr="00BE28DD" w:rsidRDefault="00C34BD1" w:rsidP="00C45948">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75D1189"/>
    <w:multiLevelType w:val="hybridMultilevel"/>
    <w:tmpl w:val="55CA874A"/>
    <w:lvl w:ilvl="0" w:tplc="0D1A0E74">
      <w:start w:val="1"/>
      <w:numFmt w:val="bullet"/>
      <w:pStyle w:val="Aufzhlung"/>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30F31983"/>
    <w:multiLevelType w:val="hybridMultilevel"/>
    <w:tmpl w:val="1356360A"/>
    <w:lvl w:ilvl="0" w:tplc="A0569924">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7"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5"/>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18"/>
  </w:num>
  <w:num w:numId="15">
    <w:abstractNumId w:val="16"/>
  </w:num>
  <w:num w:numId="16">
    <w:abstractNumId w:val="12"/>
  </w:num>
  <w:num w:numId="17">
    <w:abstractNumId w:val="13"/>
  </w:num>
  <w:num w:numId="18">
    <w:abstractNumId w:val="15"/>
    <w:lvlOverride w:ilvl="0">
      <w:startOverride w:val="1"/>
    </w:lvlOverride>
  </w:num>
  <w:num w:numId="19">
    <w:abstractNumId w:val="11"/>
  </w:num>
  <w:num w:numId="20">
    <w:abstractNumId w:val="17"/>
  </w:num>
  <w:num w:numId="21">
    <w:abstractNumId w:val="16"/>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de-DE" w:vendorID="64" w:dllVersion="4096" w:nlCheck="1" w:checkStyle="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93"/>
    <w:rsid w:val="00002264"/>
    <w:rsid w:val="00002982"/>
    <w:rsid w:val="00016BED"/>
    <w:rsid w:val="0002188A"/>
    <w:rsid w:val="000226CF"/>
    <w:rsid w:val="00022C17"/>
    <w:rsid w:val="00023AB6"/>
    <w:rsid w:val="0002776D"/>
    <w:rsid w:val="00036554"/>
    <w:rsid w:val="00041401"/>
    <w:rsid w:val="000426FA"/>
    <w:rsid w:val="000429B6"/>
    <w:rsid w:val="00043854"/>
    <w:rsid w:val="00045257"/>
    <w:rsid w:val="00053469"/>
    <w:rsid w:val="00056FCF"/>
    <w:rsid w:val="00060C20"/>
    <w:rsid w:val="0006347E"/>
    <w:rsid w:val="00063A9E"/>
    <w:rsid w:val="000654B0"/>
    <w:rsid w:val="00065B9E"/>
    <w:rsid w:val="000660D1"/>
    <w:rsid w:val="000705BD"/>
    <w:rsid w:val="00076A92"/>
    <w:rsid w:val="00083CD6"/>
    <w:rsid w:val="000842CD"/>
    <w:rsid w:val="00092C09"/>
    <w:rsid w:val="000A0D87"/>
    <w:rsid w:val="000A2D77"/>
    <w:rsid w:val="000B1053"/>
    <w:rsid w:val="000B3537"/>
    <w:rsid w:val="000C0D0C"/>
    <w:rsid w:val="000C4C90"/>
    <w:rsid w:val="000D3E52"/>
    <w:rsid w:val="000E73D8"/>
    <w:rsid w:val="00104492"/>
    <w:rsid w:val="001074FE"/>
    <w:rsid w:val="00110B8C"/>
    <w:rsid w:val="00114FA1"/>
    <w:rsid w:val="0012279B"/>
    <w:rsid w:val="001243EF"/>
    <w:rsid w:val="00124874"/>
    <w:rsid w:val="0012761F"/>
    <w:rsid w:val="00130741"/>
    <w:rsid w:val="00132129"/>
    <w:rsid w:val="001367A8"/>
    <w:rsid w:val="001377DF"/>
    <w:rsid w:val="001378E9"/>
    <w:rsid w:val="00142AF6"/>
    <w:rsid w:val="00147E6F"/>
    <w:rsid w:val="00157B4B"/>
    <w:rsid w:val="00161A1E"/>
    <w:rsid w:val="0017055C"/>
    <w:rsid w:val="00174FBA"/>
    <w:rsid w:val="00175CBD"/>
    <w:rsid w:val="0019062B"/>
    <w:rsid w:val="001906D1"/>
    <w:rsid w:val="00192C9A"/>
    <w:rsid w:val="00196F24"/>
    <w:rsid w:val="001A1FBF"/>
    <w:rsid w:val="001A6171"/>
    <w:rsid w:val="001A7E3D"/>
    <w:rsid w:val="001B7416"/>
    <w:rsid w:val="001C1C71"/>
    <w:rsid w:val="001D3AEF"/>
    <w:rsid w:val="001D429F"/>
    <w:rsid w:val="001D4F9D"/>
    <w:rsid w:val="001D5163"/>
    <w:rsid w:val="001E1C48"/>
    <w:rsid w:val="001E73B8"/>
    <w:rsid w:val="0020054C"/>
    <w:rsid w:val="002077B8"/>
    <w:rsid w:val="0021007B"/>
    <w:rsid w:val="002132C6"/>
    <w:rsid w:val="0021669C"/>
    <w:rsid w:val="0022128F"/>
    <w:rsid w:val="00223DCA"/>
    <w:rsid w:val="00226178"/>
    <w:rsid w:val="002354D5"/>
    <w:rsid w:val="0024656D"/>
    <w:rsid w:val="00261C0B"/>
    <w:rsid w:val="00262EA0"/>
    <w:rsid w:val="00267224"/>
    <w:rsid w:val="00267CFE"/>
    <w:rsid w:val="0027312D"/>
    <w:rsid w:val="00274927"/>
    <w:rsid w:val="0027585A"/>
    <w:rsid w:val="00277CDF"/>
    <w:rsid w:val="00282C0D"/>
    <w:rsid w:val="00282E71"/>
    <w:rsid w:val="0028514B"/>
    <w:rsid w:val="002855E9"/>
    <w:rsid w:val="0029144D"/>
    <w:rsid w:val="002946A5"/>
    <w:rsid w:val="002974C4"/>
    <w:rsid w:val="002A2959"/>
    <w:rsid w:val="002A312E"/>
    <w:rsid w:val="002B089A"/>
    <w:rsid w:val="002B12C5"/>
    <w:rsid w:val="002B2FA9"/>
    <w:rsid w:val="002B3003"/>
    <w:rsid w:val="002B36AF"/>
    <w:rsid w:val="002B4CE7"/>
    <w:rsid w:val="002E04BB"/>
    <w:rsid w:val="002E0B77"/>
    <w:rsid w:val="002E5C7E"/>
    <w:rsid w:val="002F4D18"/>
    <w:rsid w:val="00307A87"/>
    <w:rsid w:val="0031224A"/>
    <w:rsid w:val="0031280A"/>
    <w:rsid w:val="003134C5"/>
    <w:rsid w:val="00315FA9"/>
    <w:rsid w:val="00315FE6"/>
    <w:rsid w:val="00316802"/>
    <w:rsid w:val="00320C68"/>
    <w:rsid w:val="003213E9"/>
    <w:rsid w:val="003239BF"/>
    <w:rsid w:val="003254FE"/>
    <w:rsid w:val="003259E6"/>
    <w:rsid w:val="003279BC"/>
    <w:rsid w:val="0033258B"/>
    <w:rsid w:val="00337070"/>
    <w:rsid w:val="00342EA8"/>
    <w:rsid w:val="003465DA"/>
    <w:rsid w:val="003501FE"/>
    <w:rsid w:val="00351F0B"/>
    <w:rsid w:val="00354911"/>
    <w:rsid w:val="00355E1A"/>
    <w:rsid w:val="00366A34"/>
    <w:rsid w:val="00371B20"/>
    <w:rsid w:val="003752CB"/>
    <w:rsid w:val="00377A3F"/>
    <w:rsid w:val="003923B2"/>
    <w:rsid w:val="003924F5"/>
    <w:rsid w:val="00393B82"/>
    <w:rsid w:val="00395DD9"/>
    <w:rsid w:val="003A688D"/>
    <w:rsid w:val="003B22B2"/>
    <w:rsid w:val="003B3898"/>
    <w:rsid w:val="003B7C80"/>
    <w:rsid w:val="003B7E4A"/>
    <w:rsid w:val="003C1937"/>
    <w:rsid w:val="003C401E"/>
    <w:rsid w:val="003C5285"/>
    <w:rsid w:val="003D0FEE"/>
    <w:rsid w:val="003E1B5D"/>
    <w:rsid w:val="003E71E1"/>
    <w:rsid w:val="003F10E8"/>
    <w:rsid w:val="003F1535"/>
    <w:rsid w:val="003F6F6F"/>
    <w:rsid w:val="003F77D0"/>
    <w:rsid w:val="00400A3F"/>
    <w:rsid w:val="00403830"/>
    <w:rsid w:val="00411582"/>
    <w:rsid w:val="0043178E"/>
    <w:rsid w:val="00431FBC"/>
    <w:rsid w:val="00436B22"/>
    <w:rsid w:val="004469AD"/>
    <w:rsid w:val="00447356"/>
    <w:rsid w:val="004475D2"/>
    <w:rsid w:val="00451123"/>
    <w:rsid w:val="004574A0"/>
    <w:rsid w:val="004801D5"/>
    <w:rsid w:val="004802AD"/>
    <w:rsid w:val="00480457"/>
    <w:rsid w:val="00480694"/>
    <w:rsid w:val="00487A04"/>
    <w:rsid w:val="0049685E"/>
    <w:rsid w:val="004A3728"/>
    <w:rsid w:val="004B1214"/>
    <w:rsid w:val="004B1654"/>
    <w:rsid w:val="004B3601"/>
    <w:rsid w:val="004B5E42"/>
    <w:rsid w:val="004C1FE2"/>
    <w:rsid w:val="004C317B"/>
    <w:rsid w:val="004C3931"/>
    <w:rsid w:val="004D012E"/>
    <w:rsid w:val="004D1D02"/>
    <w:rsid w:val="004D5B9B"/>
    <w:rsid w:val="004D78E6"/>
    <w:rsid w:val="004E34D2"/>
    <w:rsid w:val="004E5392"/>
    <w:rsid w:val="004F5675"/>
    <w:rsid w:val="00500280"/>
    <w:rsid w:val="00501735"/>
    <w:rsid w:val="00503599"/>
    <w:rsid w:val="00503823"/>
    <w:rsid w:val="005058C7"/>
    <w:rsid w:val="005157B0"/>
    <w:rsid w:val="005159C2"/>
    <w:rsid w:val="00520F2F"/>
    <w:rsid w:val="00521BFD"/>
    <w:rsid w:val="00523730"/>
    <w:rsid w:val="00530F41"/>
    <w:rsid w:val="005352D6"/>
    <w:rsid w:val="005362F0"/>
    <w:rsid w:val="0054231E"/>
    <w:rsid w:val="00546201"/>
    <w:rsid w:val="00552E98"/>
    <w:rsid w:val="00556FDA"/>
    <w:rsid w:val="00572706"/>
    <w:rsid w:val="00581304"/>
    <w:rsid w:val="00592C30"/>
    <w:rsid w:val="005946F1"/>
    <w:rsid w:val="00594A1C"/>
    <w:rsid w:val="005963C0"/>
    <w:rsid w:val="005B230D"/>
    <w:rsid w:val="005B36CD"/>
    <w:rsid w:val="005B7270"/>
    <w:rsid w:val="005C261B"/>
    <w:rsid w:val="005D3EF8"/>
    <w:rsid w:val="005D48A7"/>
    <w:rsid w:val="005D64E1"/>
    <w:rsid w:val="005F12F5"/>
    <w:rsid w:val="00600F33"/>
    <w:rsid w:val="00603889"/>
    <w:rsid w:val="00604B13"/>
    <w:rsid w:val="0060585E"/>
    <w:rsid w:val="006109CE"/>
    <w:rsid w:val="00615609"/>
    <w:rsid w:val="00615764"/>
    <w:rsid w:val="00615B3C"/>
    <w:rsid w:val="00624C8C"/>
    <w:rsid w:val="00650D11"/>
    <w:rsid w:val="00651B20"/>
    <w:rsid w:val="00652380"/>
    <w:rsid w:val="00654264"/>
    <w:rsid w:val="00660CB5"/>
    <w:rsid w:val="00662EA2"/>
    <w:rsid w:val="006654E0"/>
    <w:rsid w:val="00665E7A"/>
    <w:rsid w:val="006676E1"/>
    <w:rsid w:val="0067218C"/>
    <w:rsid w:val="00695FFD"/>
    <w:rsid w:val="006B13BE"/>
    <w:rsid w:val="006B2186"/>
    <w:rsid w:val="006B4484"/>
    <w:rsid w:val="006C49BB"/>
    <w:rsid w:val="006D37AC"/>
    <w:rsid w:val="006E1440"/>
    <w:rsid w:val="006E269B"/>
    <w:rsid w:val="006E55EE"/>
    <w:rsid w:val="006F04B8"/>
    <w:rsid w:val="006F6529"/>
    <w:rsid w:val="00704810"/>
    <w:rsid w:val="00707A79"/>
    <w:rsid w:val="0071078D"/>
    <w:rsid w:val="00710A83"/>
    <w:rsid w:val="00711A3C"/>
    <w:rsid w:val="00717A89"/>
    <w:rsid w:val="007270B6"/>
    <w:rsid w:val="0073275B"/>
    <w:rsid w:val="0073734B"/>
    <w:rsid w:val="00737E68"/>
    <w:rsid w:val="007407A3"/>
    <w:rsid w:val="00740F7E"/>
    <w:rsid w:val="0075008D"/>
    <w:rsid w:val="00750522"/>
    <w:rsid w:val="00750C73"/>
    <w:rsid w:val="00750D91"/>
    <w:rsid w:val="00755C50"/>
    <w:rsid w:val="0075777F"/>
    <w:rsid w:val="007656A9"/>
    <w:rsid w:val="00765837"/>
    <w:rsid w:val="00765C74"/>
    <w:rsid w:val="0077799E"/>
    <w:rsid w:val="00783A9C"/>
    <w:rsid w:val="00787C4D"/>
    <w:rsid w:val="00792BA5"/>
    <w:rsid w:val="007B1CBA"/>
    <w:rsid w:val="007C471E"/>
    <w:rsid w:val="007D1E11"/>
    <w:rsid w:val="007D4F0F"/>
    <w:rsid w:val="007E55F3"/>
    <w:rsid w:val="007E5ABD"/>
    <w:rsid w:val="007F1F30"/>
    <w:rsid w:val="00811BE1"/>
    <w:rsid w:val="00821B96"/>
    <w:rsid w:val="008239BC"/>
    <w:rsid w:val="00824A6D"/>
    <w:rsid w:val="00825EEA"/>
    <w:rsid w:val="008262DB"/>
    <w:rsid w:val="00826E05"/>
    <w:rsid w:val="00827FCF"/>
    <w:rsid w:val="008307D1"/>
    <w:rsid w:val="00832646"/>
    <w:rsid w:val="00840191"/>
    <w:rsid w:val="00843286"/>
    <w:rsid w:val="0084338A"/>
    <w:rsid w:val="008438D0"/>
    <w:rsid w:val="00850ECB"/>
    <w:rsid w:val="008512A9"/>
    <w:rsid w:val="00851886"/>
    <w:rsid w:val="00856830"/>
    <w:rsid w:val="008606FE"/>
    <w:rsid w:val="00862F55"/>
    <w:rsid w:val="00863E22"/>
    <w:rsid w:val="008725BF"/>
    <w:rsid w:val="00884877"/>
    <w:rsid w:val="00886988"/>
    <w:rsid w:val="00891E1A"/>
    <w:rsid w:val="008923E4"/>
    <w:rsid w:val="008977B2"/>
    <w:rsid w:val="008A0071"/>
    <w:rsid w:val="008B30AE"/>
    <w:rsid w:val="008B78F5"/>
    <w:rsid w:val="008C0153"/>
    <w:rsid w:val="008C13CB"/>
    <w:rsid w:val="008C2133"/>
    <w:rsid w:val="008C2792"/>
    <w:rsid w:val="008C335F"/>
    <w:rsid w:val="008C5C84"/>
    <w:rsid w:val="008D1B08"/>
    <w:rsid w:val="008D24DD"/>
    <w:rsid w:val="008D6089"/>
    <w:rsid w:val="008D7C71"/>
    <w:rsid w:val="008E213C"/>
    <w:rsid w:val="008E41E0"/>
    <w:rsid w:val="008E52FB"/>
    <w:rsid w:val="008F16EA"/>
    <w:rsid w:val="009041FC"/>
    <w:rsid w:val="00912F33"/>
    <w:rsid w:val="0091670F"/>
    <w:rsid w:val="00924FB7"/>
    <w:rsid w:val="00926D46"/>
    <w:rsid w:val="00931375"/>
    <w:rsid w:val="009313E1"/>
    <w:rsid w:val="00936785"/>
    <w:rsid w:val="00940362"/>
    <w:rsid w:val="00950FA8"/>
    <w:rsid w:val="00951E17"/>
    <w:rsid w:val="009534F1"/>
    <w:rsid w:val="00962FF2"/>
    <w:rsid w:val="0096414B"/>
    <w:rsid w:val="00965B4C"/>
    <w:rsid w:val="009710E2"/>
    <w:rsid w:val="00971E4D"/>
    <w:rsid w:val="00977093"/>
    <w:rsid w:val="0098221E"/>
    <w:rsid w:val="00985FFB"/>
    <w:rsid w:val="00993A63"/>
    <w:rsid w:val="0099660A"/>
    <w:rsid w:val="009A3FAA"/>
    <w:rsid w:val="009A42B6"/>
    <w:rsid w:val="009B07DF"/>
    <w:rsid w:val="009B349A"/>
    <w:rsid w:val="009C1532"/>
    <w:rsid w:val="009C6587"/>
    <w:rsid w:val="009D2609"/>
    <w:rsid w:val="009E1044"/>
    <w:rsid w:val="009E44C2"/>
    <w:rsid w:val="009E6FCD"/>
    <w:rsid w:val="009F0D3A"/>
    <w:rsid w:val="009F72C2"/>
    <w:rsid w:val="009F7864"/>
    <w:rsid w:val="00A0443A"/>
    <w:rsid w:val="00A130CC"/>
    <w:rsid w:val="00A164CA"/>
    <w:rsid w:val="00A20C74"/>
    <w:rsid w:val="00A246A0"/>
    <w:rsid w:val="00A24A9C"/>
    <w:rsid w:val="00A2682F"/>
    <w:rsid w:val="00A30B06"/>
    <w:rsid w:val="00A33E0B"/>
    <w:rsid w:val="00A45277"/>
    <w:rsid w:val="00A45A71"/>
    <w:rsid w:val="00A52206"/>
    <w:rsid w:val="00A52295"/>
    <w:rsid w:val="00A570BF"/>
    <w:rsid w:val="00A60166"/>
    <w:rsid w:val="00A61BF8"/>
    <w:rsid w:val="00A6372D"/>
    <w:rsid w:val="00A6467B"/>
    <w:rsid w:val="00A66585"/>
    <w:rsid w:val="00A72DEA"/>
    <w:rsid w:val="00A74126"/>
    <w:rsid w:val="00A76AA2"/>
    <w:rsid w:val="00A81201"/>
    <w:rsid w:val="00A82075"/>
    <w:rsid w:val="00A953AB"/>
    <w:rsid w:val="00A96517"/>
    <w:rsid w:val="00A975FF"/>
    <w:rsid w:val="00AA5360"/>
    <w:rsid w:val="00AA5535"/>
    <w:rsid w:val="00AB1108"/>
    <w:rsid w:val="00AB1E96"/>
    <w:rsid w:val="00AB620F"/>
    <w:rsid w:val="00AB6B9A"/>
    <w:rsid w:val="00AC1BAC"/>
    <w:rsid w:val="00AD0C4A"/>
    <w:rsid w:val="00AD1E6E"/>
    <w:rsid w:val="00AD344E"/>
    <w:rsid w:val="00AD395A"/>
    <w:rsid w:val="00AD6F4C"/>
    <w:rsid w:val="00AD74F2"/>
    <w:rsid w:val="00AF6928"/>
    <w:rsid w:val="00AF6975"/>
    <w:rsid w:val="00B02828"/>
    <w:rsid w:val="00B071E3"/>
    <w:rsid w:val="00B11199"/>
    <w:rsid w:val="00B112BC"/>
    <w:rsid w:val="00B146CC"/>
    <w:rsid w:val="00B21141"/>
    <w:rsid w:val="00B3191C"/>
    <w:rsid w:val="00B3480E"/>
    <w:rsid w:val="00B411A2"/>
    <w:rsid w:val="00B51D22"/>
    <w:rsid w:val="00B52B44"/>
    <w:rsid w:val="00B535F4"/>
    <w:rsid w:val="00B56C00"/>
    <w:rsid w:val="00B633B4"/>
    <w:rsid w:val="00B63664"/>
    <w:rsid w:val="00B63786"/>
    <w:rsid w:val="00B65745"/>
    <w:rsid w:val="00B74A8D"/>
    <w:rsid w:val="00B778A4"/>
    <w:rsid w:val="00B84FBD"/>
    <w:rsid w:val="00B86D57"/>
    <w:rsid w:val="00B87A6A"/>
    <w:rsid w:val="00B87AB5"/>
    <w:rsid w:val="00B926E9"/>
    <w:rsid w:val="00B92C5A"/>
    <w:rsid w:val="00BA0B38"/>
    <w:rsid w:val="00BA157C"/>
    <w:rsid w:val="00BA76CE"/>
    <w:rsid w:val="00BB26BF"/>
    <w:rsid w:val="00BB6447"/>
    <w:rsid w:val="00BB6DFE"/>
    <w:rsid w:val="00BB6E91"/>
    <w:rsid w:val="00BC3109"/>
    <w:rsid w:val="00BC3B8A"/>
    <w:rsid w:val="00BC63E6"/>
    <w:rsid w:val="00BC6BCC"/>
    <w:rsid w:val="00BD2A9C"/>
    <w:rsid w:val="00BE28DD"/>
    <w:rsid w:val="00BE3CF2"/>
    <w:rsid w:val="00BE4CEA"/>
    <w:rsid w:val="00BE5D25"/>
    <w:rsid w:val="00BE602B"/>
    <w:rsid w:val="00BE73A1"/>
    <w:rsid w:val="00BF04E0"/>
    <w:rsid w:val="00BF1BC6"/>
    <w:rsid w:val="00BF25ED"/>
    <w:rsid w:val="00BF2765"/>
    <w:rsid w:val="00BF46B7"/>
    <w:rsid w:val="00BF520B"/>
    <w:rsid w:val="00BF5462"/>
    <w:rsid w:val="00C01EC5"/>
    <w:rsid w:val="00C032A5"/>
    <w:rsid w:val="00C0566E"/>
    <w:rsid w:val="00C063A9"/>
    <w:rsid w:val="00C11153"/>
    <w:rsid w:val="00C16711"/>
    <w:rsid w:val="00C208A9"/>
    <w:rsid w:val="00C22060"/>
    <w:rsid w:val="00C23E63"/>
    <w:rsid w:val="00C2763D"/>
    <w:rsid w:val="00C30AD0"/>
    <w:rsid w:val="00C312D6"/>
    <w:rsid w:val="00C3145D"/>
    <w:rsid w:val="00C34BD1"/>
    <w:rsid w:val="00C42207"/>
    <w:rsid w:val="00C44B15"/>
    <w:rsid w:val="00C45948"/>
    <w:rsid w:val="00C5162C"/>
    <w:rsid w:val="00C53539"/>
    <w:rsid w:val="00C54708"/>
    <w:rsid w:val="00C57003"/>
    <w:rsid w:val="00C61E2A"/>
    <w:rsid w:val="00C626CE"/>
    <w:rsid w:val="00C67A5D"/>
    <w:rsid w:val="00C7038A"/>
    <w:rsid w:val="00C72139"/>
    <w:rsid w:val="00C76787"/>
    <w:rsid w:val="00C806DE"/>
    <w:rsid w:val="00C81CA2"/>
    <w:rsid w:val="00C86697"/>
    <w:rsid w:val="00C951F8"/>
    <w:rsid w:val="00C975D9"/>
    <w:rsid w:val="00CA18AE"/>
    <w:rsid w:val="00CA28CE"/>
    <w:rsid w:val="00CA67FF"/>
    <w:rsid w:val="00CB41D1"/>
    <w:rsid w:val="00CB67A4"/>
    <w:rsid w:val="00CB7425"/>
    <w:rsid w:val="00CB7986"/>
    <w:rsid w:val="00CC406B"/>
    <w:rsid w:val="00CC41BF"/>
    <w:rsid w:val="00CC7A13"/>
    <w:rsid w:val="00CD1C3F"/>
    <w:rsid w:val="00CD6E35"/>
    <w:rsid w:val="00CD7AAF"/>
    <w:rsid w:val="00CE0E93"/>
    <w:rsid w:val="00CE6BFB"/>
    <w:rsid w:val="00CF0567"/>
    <w:rsid w:val="00D01C77"/>
    <w:rsid w:val="00D05383"/>
    <w:rsid w:val="00D1424A"/>
    <w:rsid w:val="00D143C5"/>
    <w:rsid w:val="00D1455E"/>
    <w:rsid w:val="00D15D63"/>
    <w:rsid w:val="00D16975"/>
    <w:rsid w:val="00D21031"/>
    <w:rsid w:val="00D25FF9"/>
    <w:rsid w:val="00D277E5"/>
    <w:rsid w:val="00D31AC5"/>
    <w:rsid w:val="00D35482"/>
    <w:rsid w:val="00D41329"/>
    <w:rsid w:val="00D423E1"/>
    <w:rsid w:val="00D42CA5"/>
    <w:rsid w:val="00D43571"/>
    <w:rsid w:val="00D644D7"/>
    <w:rsid w:val="00D86164"/>
    <w:rsid w:val="00D90D3E"/>
    <w:rsid w:val="00D9509C"/>
    <w:rsid w:val="00D968F4"/>
    <w:rsid w:val="00DA7C04"/>
    <w:rsid w:val="00DB0361"/>
    <w:rsid w:val="00DB5061"/>
    <w:rsid w:val="00DB5093"/>
    <w:rsid w:val="00DC2915"/>
    <w:rsid w:val="00DC338F"/>
    <w:rsid w:val="00DC3B8E"/>
    <w:rsid w:val="00DC4D8D"/>
    <w:rsid w:val="00DC6B8F"/>
    <w:rsid w:val="00DC6FDE"/>
    <w:rsid w:val="00DC7343"/>
    <w:rsid w:val="00DD072E"/>
    <w:rsid w:val="00DD4531"/>
    <w:rsid w:val="00DE6783"/>
    <w:rsid w:val="00DE6EAB"/>
    <w:rsid w:val="00E02A4C"/>
    <w:rsid w:val="00E0627F"/>
    <w:rsid w:val="00E06435"/>
    <w:rsid w:val="00E12BEB"/>
    <w:rsid w:val="00E1329B"/>
    <w:rsid w:val="00E225E0"/>
    <w:rsid w:val="00E24D45"/>
    <w:rsid w:val="00E305BC"/>
    <w:rsid w:val="00E37135"/>
    <w:rsid w:val="00E41F86"/>
    <w:rsid w:val="00E449CB"/>
    <w:rsid w:val="00E4776C"/>
    <w:rsid w:val="00E63F3D"/>
    <w:rsid w:val="00E70441"/>
    <w:rsid w:val="00E7096D"/>
    <w:rsid w:val="00E75D1F"/>
    <w:rsid w:val="00E90120"/>
    <w:rsid w:val="00E905A2"/>
    <w:rsid w:val="00EB0EB6"/>
    <w:rsid w:val="00EB1CE2"/>
    <w:rsid w:val="00EB2557"/>
    <w:rsid w:val="00EB2558"/>
    <w:rsid w:val="00EC1BB8"/>
    <w:rsid w:val="00EC270E"/>
    <w:rsid w:val="00EC420D"/>
    <w:rsid w:val="00ED3B52"/>
    <w:rsid w:val="00ED54EF"/>
    <w:rsid w:val="00ED5F3E"/>
    <w:rsid w:val="00EE7E13"/>
    <w:rsid w:val="00EF48A2"/>
    <w:rsid w:val="00EF4FB9"/>
    <w:rsid w:val="00F0093B"/>
    <w:rsid w:val="00F0338F"/>
    <w:rsid w:val="00F07937"/>
    <w:rsid w:val="00F17102"/>
    <w:rsid w:val="00F2033A"/>
    <w:rsid w:val="00F262DC"/>
    <w:rsid w:val="00F30265"/>
    <w:rsid w:val="00F31B21"/>
    <w:rsid w:val="00F33EE6"/>
    <w:rsid w:val="00F3593D"/>
    <w:rsid w:val="00F35B6E"/>
    <w:rsid w:val="00F41E84"/>
    <w:rsid w:val="00F55EF5"/>
    <w:rsid w:val="00F57FED"/>
    <w:rsid w:val="00F72C6F"/>
    <w:rsid w:val="00F772E1"/>
    <w:rsid w:val="00F82067"/>
    <w:rsid w:val="00F82773"/>
    <w:rsid w:val="00F8374A"/>
    <w:rsid w:val="00F9464C"/>
    <w:rsid w:val="00FA1DF6"/>
    <w:rsid w:val="00FA4D2B"/>
    <w:rsid w:val="00FB2140"/>
    <w:rsid w:val="00FB7333"/>
    <w:rsid w:val="00FC1044"/>
    <w:rsid w:val="00FC503F"/>
    <w:rsid w:val="00FC78DC"/>
    <w:rsid w:val="00FD1C20"/>
    <w:rsid w:val="00FD3CC6"/>
    <w:rsid w:val="00FE3042"/>
    <w:rsid w:val="00FE4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1796FD5"/>
  <w15:docId w15:val="{A39B106A-C2A2-43E3-B195-4A82856B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5">
    <w:lsdException w:name="heading 1" w:qFormat="1"/>
    <w:lsdException w:name="heading 2"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semiHidden/>
    <w:rsid w:val="00D968F4"/>
    <w:pPr>
      <w:spacing w:after="120"/>
    </w:pPr>
    <w:rPr>
      <w:rFonts w:ascii="Arial" w:hAnsi="Arial"/>
      <w:szCs w:val="24"/>
    </w:rPr>
  </w:style>
  <w:style w:type="paragraph" w:styleId="berschrift1">
    <w:name w:val="heading 1"/>
    <w:basedOn w:val="Textkrper"/>
    <w:next w:val="Textkrper"/>
    <w:autoRedefine/>
    <w:qFormat/>
    <w:rsid w:val="002B12C5"/>
    <w:pPr>
      <w:keepNext/>
      <w:ind w:left="567" w:hanging="567"/>
      <w:outlineLvl w:val="0"/>
    </w:pPr>
    <w:rPr>
      <w:rFonts w:cs="Arial"/>
      <w:b/>
      <w:bCs/>
      <w:color w:val="5EAD35" w:themeColor="background2"/>
      <w:kern w:val="32"/>
      <w:sz w:val="32"/>
      <w:szCs w:val="32"/>
    </w:rPr>
  </w:style>
  <w:style w:type="paragraph" w:styleId="berschrift2">
    <w:name w:val="heading 2"/>
    <w:basedOn w:val="Textkrper"/>
    <w:next w:val="Textkrper"/>
    <w:autoRedefine/>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rsid w:val="000705BD"/>
    <w:pPr>
      <w:spacing w:before="240" w:after="240"/>
      <w:outlineLvl w:val="4"/>
    </w:pPr>
    <w:rPr>
      <w:b/>
      <w:bCs/>
      <w:iCs/>
      <w:szCs w:val="26"/>
    </w:rPr>
  </w:style>
  <w:style w:type="paragraph" w:styleId="berschrift6">
    <w:name w:val="heading 6"/>
    <w:basedOn w:val="Textkrper"/>
    <w:next w:val="Textkrper"/>
    <w:rsid w:val="000705BD"/>
    <w:pPr>
      <w:numPr>
        <w:ilvl w:val="5"/>
        <w:numId w:val="16"/>
      </w:numPr>
      <w:outlineLvl w:val="5"/>
    </w:pPr>
    <w:rPr>
      <w:bCs/>
      <w:i/>
      <w:szCs w:val="22"/>
    </w:rPr>
  </w:style>
  <w:style w:type="paragraph" w:styleId="berschrift7">
    <w:name w:val="heading 7"/>
    <w:basedOn w:val="Textkrper"/>
    <w:next w:val="Textkrper"/>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615B3C"/>
    <w:pPr>
      <w:numPr>
        <w:numId w:val="2"/>
      </w:numPr>
      <w:spacing w:before="0" w:after="280"/>
      <w:contextualSpacing/>
    </w:pPr>
  </w:style>
  <w:style w:type="paragraph" w:customStyle="1" w:styleId="Textkrperfett">
    <w:name w:val="Textkörper fett"/>
    <w:basedOn w:val="Textkrper"/>
    <w:link w:val="TextkrperfettZchn"/>
    <w:autoRedefine/>
    <w:qFormat/>
    <w:rsid w:val="001243EF"/>
    <w:pPr>
      <w:ind w:left="567" w:hanging="567"/>
    </w:pPr>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315FE6"/>
    <w:pPr>
      <w:numPr>
        <w:numId w:val="15"/>
      </w:numPr>
      <w:ind w:left="357" w:hanging="357"/>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4"/>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615B3C"/>
    <w:rPr>
      <w:b/>
    </w:rPr>
  </w:style>
  <w:style w:type="paragraph" w:customStyle="1" w:styleId="Tabellentext">
    <w:name w:val="Tabellentext"/>
    <w:basedOn w:val="Textkrper"/>
    <w:link w:val="TabellentextZchn"/>
    <w:autoRedefine/>
    <w:uiPriority w:val="1"/>
    <w:qFormat/>
    <w:rsid w:val="001243EF"/>
    <w:pPr>
      <w:keepLines/>
      <w:spacing w:before="20" w:after="20" w:line="240" w:lineRule="auto"/>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basedOn w:val="Textkrper"/>
    <w:link w:val="FunotentextZchn"/>
    <w:autoRedefine/>
    <w:qFormat/>
    <w:rsid w:val="002B12C5"/>
    <w:pPr>
      <w:spacing w:before="0" w:after="40" w:line="240" w:lineRule="auto"/>
      <w:ind w:left="340" w:hanging="340"/>
    </w:pPr>
    <w:rPr>
      <w:sz w:val="18"/>
      <w:szCs w:val="20"/>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DC6B8F"/>
    <w:pPr>
      <w:spacing w:after="12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1"/>
    <w:qFormat/>
    <w:rsid w:val="00615B3C"/>
    <w:pPr>
      <w:numPr>
        <w:numId w:val="7"/>
      </w:numPr>
      <w:spacing w:before="0"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C11153"/>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DC6B8F"/>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615B3C"/>
    <w:rPr>
      <w:rFonts w:ascii="Cambria" w:hAnsi="Cambria"/>
      <w:sz w:val="20"/>
      <w:szCs w:val="24"/>
    </w:rPr>
  </w:style>
  <w:style w:type="character" w:customStyle="1" w:styleId="AufzhlungaZchn">
    <w:name w:val="Aufzählung a) Zchn"/>
    <w:basedOn w:val="AufzhlungZchn"/>
    <w:link w:val="Aufzhlunga"/>
    <w:uiPriority w:val="1"/>
    <w:rsid w:val="00315FE6"/>
    <w:rPr>
      <w:rFonts w:ascii="Calibri" w:hAnsi="Calibri"/>
      <w:sz w:val="20"/>
      <w:szCs w:val="24"/>
    </w:rPr>
  </w:style>
  <w:style w:type="character" w:customStyle="1" w:styleId="TextkrperkursivZchn">
    <w:name w:val="Textkörper kursiv Zchn"/>
    <w:basedOn w:val="TextkrperZchn"/>
    <w:link w:val="Textkrperkursiv"/>
    <w:rsid w:val="00615B3C"/>
    <w:rPr>
      <w:rFonts w:ascii="Cambria" w:hAnsi="Cambria"/>
      <w:i/>
      <w:sz w:val="20"/>
      <w:szCs w:val="24"/>
    </w:rPr>
  </w:style>
  <w:style w:type="character" w:customStyle="1" w:styleId="TextkrperfettZchn">
    <w:name w:val="Textkörper fett Zchn"/>
    <w:basedOn w:val="TextkrperZchn"/>
    <w:link w:val="Textkrperfett"/>
    <w:rsid w:val="001243EF"/>
    <w:rPr>
      <w:rFonts w:ascii="Calibri" w:hAnsi="Calibri"/>
      <w:b/>
      <w:sz w:val="20"/>
      <w:szCs w:val="24"/>
    </w:rPr>
  </w:style>
  <w:style w:type="character" w:customStyle="1" w:styleId="TabellentextZchn">
    <w:name w:val="Tabellentext Zchn"/>
    <w:basedOn w:val="TextkrperZchn"/>
    <w:link w:val="Tabellentext"/>
    <w:uiPriority w:val="1"/>
    <w:rsid w:val="001243EF"/>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5352D6"/>
    <w:pPr>
      <w:spacing w:before="120" w:after="12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315FE6"/>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hAnsi="Calibri"/>
      <w:b/>
      <w:sz w:val="20"/>
      <w:szCs w:val="24"/>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rsid w:val="00615B3C"/>
    <w:pPr>
      <w:ind w:left="720"/>
      <w:contextualSpacing/>
    </w:pPr>
    <w:rPr>
      <w:rFonts w:ascii="Calibri" w:hAnsi="Calibri"/>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2B12C5"/>
    <w:rPr>
      <w:rFonts w:ascii="Calibri" w:hAnsi="Calibri"/>
      <w:sz w:val="18"/>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 w:type="character" w:styleId="NichtaufgelsteErwhnung">
    <w:name w:val="Unresolved Mention"/>
    <w:basedOn w:val="Absatz-Standardschriftart"/>
    <w:uiPriority w:val="99"/>
    <w:semiHidden/>
    <w:unhideWhenUsed/>
    <w:rsid w:val="002B1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aua.de/DE/Themen/Arbeitsgestaltung-im-Betrieb/Gefahrstoffe/Einstufung-und-Kennzeichnung/Einstufung-und-Kennzeichnung_node.html" TargetMode="External"/><Relationship Id="rId1" Type="http://schemas.openxmlformats.org/officeDocument/2006/relationships/hyperlink" Target="https://www.echa.europa.eu/candidate-list-ta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CS\Projekte\KG_&#214;BU\17005200_UBA_Profilierung_umweltfreundliche_Beschaffung\3_Projektinhalte\2_Ausschreibungsempfehlungen\1_Leitf&#228;den\UBA_Vorlage_Anbieterfragebogen_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E75C09635A4F008965919270E1CD8E"/>
        <w:category>
          <w:name w:val="Allgemein"/>
          <w:gallery w:val="placeholder"/>
        </w:category>
        <w:types>
          <w:type w:val="bbPlcHdr"/>
        </w:types>
        <w:behaviors>
          <w:behavior w:val="content"/>
        </w:behaviors>
        <w:guid w:val="{AA321171-10A9-435C-ABE4-2E72478097E1}"/>
      </w:docPartPr>
      <w:docPartBody>
        <w:p w:rsidR="008C6BE4" w:rsidRDefault="008C6BE4">
          <w:pPr>
            <w:pStyle w:val="ABE75C09635A4F008965919270E1CD8E"/>
          </w:pPr>
          <w:r w:rsidRPr="00C32728">
            <w:rPr>
              <w:rStyle w:val="Platzhaltertext"/>
            </w:rPr>
            <w:t>Klicken oder tippen Sie hier, um Text einzugeben.</w:t>
          </w:r>
        </w:p>
      </w:docPartBody>
    </w:docPart>
    <w:docPart>
      <w:docPartPr>
        <w:name w:val="92F1DFF99B904949BDFB17EEA685D48F"/>
        <w:category>
          <w:name w:val="Allgemein"/>
          <w:gallery w:val="placeholder"/>
        </w:category>
        <w:types>
          <w:type w:val="bbPlcHdr"/>
        </w:types>
        <w:behaviors>
          <w:behavior w:val="content"/>
        </w:behaviors>
        <w:guid w:val="{382F6B8C-0CC1-4B83-819D-CD17975F2F98}"/>
      </w:docPartPr>
      <w:docPartBody>
        <w:p w:rsidR="008C6BE4" w:rsidRDefault="008C6BE4">
          <w:pPr>
            <w:pStyle w:val="92F1DFF99B904949BDFB17EEA685D48F"/>
          </w:pPr>
          <w:r>
            <w:rPr>
              <w:rStyle w:val="Platzhaltertext"/>
            </w:rPr>
            <w:t>Klicken oder tippen Sie hier, um Text einzugeben.</w:t>
          </w:r>
        </w:p>
      </w:docPartBody>
    </w:docPart>
    <w:docPart>
      <w:docPartPr>
        <w:name w:val="A87C4E1BFB504BFC8FF64159D1F2ED59"/>
        <w:category>
          <w:name w:val="Allgemein"/>
          <w:gallery w:val="placeholder"/>
        </w:category>
        <w:types>
          <w:type w:val="bbPlcHdr"/>
        </w:types>
        <w:behaviors>
          <w:behavior w:val="content"/>
        </w:behaviors>
        <w:guid w:val="{1BEC0456-8CFB-47C2-8D38-A3CE8FD3D7B8}"/>
      </w:docPartPr>
      <w:docPartBody>
        <w:p w:rsidR="008C6BE4" w:rsidRDefault="008C6BE4">
          <w:pPr>
            <w:pStyle w:val="A87C4E1BFB504BFC8FF64159D1F2ED59"/>
          </w:pPr>
          <w:r w:rsidRPr="00C327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Calibri"/>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altName w:val="Calibri"/>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panose1 w:val="020B0604030101020102"/>
    <w:charset w:val="00"/>
    <w:family w:val="swiss"/>
    <w:pitch w:val="variable"/>
    <w:sig w:usb0="800000EF" w:usb1="5000207B" w:usb2="00000000" w:usb3="00000000" w:csb0="00000001" w:csb1="00000000"/>
  </w:font>
  <w:font w:name="Meta Offc Book">
    <w:altName w:val="Meta Offc"/>
    <w:charset w:val="00"/>
    <w:family w:val="swiss"/>
    <w:pitch w:val="variable"/>
    <w:sig w:usb0="800000EF" w:usb1="5000207B" w:usb2="00000000" w:usb3="00000000" w:csb0="00000001" w:csb1="00000000"/>
  </w:font>
  <w:font w:name="Meta Serif Offc">
    <w:panose1 w:val="02010504050101020102"/>
    <w:charset w:val="00"/>
    <w:family w:val="auto"/>
    <w:pitch w:val="variable"/>
    <w:sig w:usb0="800000EF" w:usb1="5000207B"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E4"/>
    <w:rsid w:val="000B7F58"/>
    <w:rsid w:val="008C6BE4"/>
    <w:rsid w:val="00D066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BE75C09635A4F008965919270E1CD8E">
    <w:name w:val="ABE75C09635A4F008965919270E1CD8E"/>
  </w:style>
  <w:style w:type="paragraph" w:customStyle="1" w:styleId="92F1DFF99B904949BDFB17EEA685D48F">
    <w:name w:val="92F1DFF99B904949BDFB17EEA685D48F"/>
  </w:style>
  <w:style w:type="paragraph" w:customStyle="1" w:styleId="A87C4E1BFB504BFC8FF64159D1F2ED59">
    <w:name w:val="A87C4E1BFB504BFC8FF64159D1F2E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220328_Anbieterfragebogen_Innenwandfarben"/>
    <f:field ref="objsubject" par="" edit="true" text=""/>
    <f:field ref="objcreatedby" par="" text="Huth, Dagmar"/>
    <f:field ref="objcreatedat" par="" text="28.03.2022 15:50:37"/>
    <f:field ref="objchangedby" par="" text="Ittershagen, Martin"/>
    <f:field ref="objmodifiedat" par="" text="29.04.2022 16:42:36"/>
    <f:field ref="doc_FSCFOLIO_1_1001_FieldDocumentNumber" par="" text=""/>
    <f:field ref="doc_FSCFOLIO_1_1001_FieldSubject" par="" edit="true" text=""/>
    <f:field ref="FSCFOLIO_1_1001_FieldCurrentUser" par="" text="Elke Örtl "/>
    <f:field ref="CCAPRECONFIG_15_1001_Objektname" par="" edit="true" text="220328_Anbieterfragebogen_Innenwandfarben"/>
    <f:field ref="DEPRECONFIG_15_1001_Objektname" par="" edit="true" text="220328_Anbieterfragebogen_Innenwandfarben"/>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DEPRECONFIG_15_1001_Objektname" text="Objektname"/>
  </f:display>
  <f:display par="" text="Serienbrief">
    <f:field ref="doc_FSCFOLIO_1_1001_FieldSubject" text="Betreff"/>
    <f:field ref="doc_FSCFOLIO_1_1001_FieldDocumentNumber" text="Dokument Nummer"/>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7FB2D2-A555-45E9-81F9-31E5DC0E8DE4}">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5.xml><?xml version="1.0" encoding="utf-8"?>
<ds:datastoreItem xmlns:ds="http://schemas.openxmlformats.org/officeDocument/2006/customXml" ds:itemID="{3381ED48-7B5E-495A-9AF4-190824C3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UBA_Vorlage_Anbieterfragebogen_2018.dotx</Template>
  <TotalTime>0</TotalTime>
  <Pages>10</Pages>
  <Words>1884</Words>
  <Characters>13536</Characters>
  <Application>Microsoft Office Word</Application>
  <DocSecurity>0</DocSecurity>
  <Lines>314</Lines>
  <Paragraphs>211</Paragraphs>
  <ScaleCrop>false</ScaleCrop>
  <HeadingPairs>
    <vt:vector size="2" baseType="variant">
      <vt:variant>
        <vt:lpstr>Titel</vt:lpstr>
      </vt:variant>
      <vt:variant>
        <vt:i4>1</vt:i4>
      </vt:variant>
    </vt:vector>
  </HeadingPairs>
  <TitlesOfParts>
    <vt:vector size="1" baseType="lpstr">
      <vt:lpstr>Anbieterfragebogen zur umweltfreundlichen öffentlichen Beschaffung von emissionsarmen Innenwandfarben</vt:lpstr>
    </vt:vector>
  </TitlesOfParts>
  <Company>Umweltbundesamt</Company>
  <LinksUpToDate>false</LinksUpToDate>
  <CharactersWithSpaces>15209</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Anbieterfragebogen zur umweltfreundlichen öffentlichen Beschaffung von emissionsarmen Innenwandfarben</dc:title>
  <dc:creator>Örtl, Elke</dc:creator>
  <cp:keywords>Innenwandfarbe</cp:keywords>
  <cp:lastModifiedBy>Örtl, Elke</cp:lastModifiedBy>
  <cp:revision>2</cp:revision>
  <dcterms:created xsi:type="dcterms:W3CDTF">2022-05-09T11:09:00Z</dcterms:created>
  <dcterms:modified xsi:type="dcterms:W3CDTF">2022-05-09T11:09:00Z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y fmtid="{D5CDD505-2E9C-101B-9397-08002B2CF9AE}" pid="3" name="FSC#UBACFG@15.1700:Author">
    <vt:lpwstr>Dagmar Huth</vt:lpwstr>
  </property>
  <property fmtid="{D5CDD505-2E9C-101B-9397-08002B2CF9AE}" pid="4" name="FSC#UBACFG@15.1700:MailAuthor">
    <vt:lpwstr>Dagmar.Huth@uba.de</vt:lpwstr>
  </property>
  <property fmtid="{D5CDD505-2E9C-101B-9397-08002B2CF9AE}" pid="5" name="FSC#UBACFG@15.1700:Mail2Author">
    <vt:lpwstr/>
  </property>
  <property fmtid="{D5CDD505-2E9C-101B-9397-08002B2CF9AE}" pid="6" name="FSC#UBACFG@15.1700:TelephonAuthor">
    <vt:lpwstr/>
  </property>
  <property fmtid="{D5CDD505-2E9C-101B-9397-08002B2CF9AE}" pid="7" name="FSC#UBACFG@15.1700:FaxAuthor">
    <vt:lpwstr/>
  </property>
  <property fmtid="{D5CDD505-2E9C-101B-9397-08002B2CF9AE}" pid="8" name="FSC#UBACFG@15.1700:SurnameAuthor">
    <vt:lpwstr>Huth</vt:lpwstr>
  </property>
  <property fmtid="{D5CDD505-2E9C-101B-9397-08002B2CF9AE}" pid="9" name="FSC#UBACFG@15.1700:GroupReferrednumber">
    <vt:lpwstr>III 1.3 (Fachgebiet III 1.3 - Ökodesign, Umweltkennzeichnung, umweltfreundliche Beschaffung)</vt:lpwstr>
  </property>
  <property fmtid="{D5CDD505-2E9C-101B-9397-08002B2CF9AE}" pid="10" name="FSC#UBACFG@15.1700:FinalVersionSignerProcedure">
    <vt:lpwstr>Bettina Rechenberg</vt:lpwstr>
  </property>
  <property fmtid="{D5CDD505-2E9C-101B-9397-08002B2CF9AE}" pid="11" name="FSC#UBACFG@15.1700:FileReferenceProcedure">
    <vt:lpwstr>39 410/0038#0012</vt:lpwstr>
  </property>
  <property fmtid="{D5CDD505-2E9C-101B-9397-08002B2CF9AE}" pid="12" name="FSC#UBACFG@15.1700:SubjectReferrednumber">
    <vt:lpwstr>Veröffentlichung Leitfaden umweltfreundliche Beschaffung - Innenwandfarben</vt:lpwstr>
  </property>
  <property fmtid="{D5CDD505-2E9C-101B-9397-08002B2CF9AE}" pid="13" name="FSC#UBACFG@15.1700:ObjnameReferrednumber">
    <vt:lpwstr>39 410/0038#0012-0001 - Leitfaden umweltfreundliche Beschaffung - Innenwandfarben</vt:lpwstr>
  </property>
  <property fmtid="{D5CDD505-2E9C-101B-9397-08002B2CF9AE}" pid="14" name="FSC#COOELAK@1.1001:Subject">
    <vt:lpwstr>Profilierung der umweltfreundlichen Beschaffung durch Integration des modernisierten Vergaberechts in die Praxis FKZ 3717 37 3150</vt:lpwstr>
  </property>
  <property fmtid="{D5CDD505-2E9C-101B-9397-08002B2CF9AE}" pid="15" name="FSC#COOELAK@1.1001:FileReference">
    <vt:lpwstr>39 410/0038</vt:lpwstr>
  </property>
  <property fmtid="{D5CDD505-2E9C-101B-9397-08002B2CF9AE}" pid="16" name="FSC#COOELAK@1.1001:FileRefYear">
    <vt:lpwstr>2020</vt:lpwstr>
  </property>
  <property fmtid="{D5CDD505-2E9C-101B-9397-08002B2CF9AE}" pid="17" name="FSC#COOELAK@1.1001:FileRefOrdinal">
    <vt:lpwstr>38</vt:lpwstr>
  </property>
  <property fmtid="{D5CDD505-2E9C-101B-9397-08002B2CF9AE}" pid="18" name="FSC#COOELAK@1.1001:FileRefOU">
    <vt:lpwstr>III 1.3</vt:lpwstr>
  </property>
  <property fmtid="{D5CDD505-2E9C-101B-9397-08002B2CF9AE}" pid="19" name="FSC#COOELAK@1.1001:Organization">
    <vt:lpwstr/>
  </property>
  <property fmtid="{D5CDD505-2E9C-101B-9397-08002B2CF9AE}" pid="20" name="FSC#COOELAK@1.1001:Owner">
    <vt:lpwstr>Huth Dagmar</vt:lpwstr>
  </property>
  <property fmtid="{D5CDD505-2E9C-101B-9397-08002B2CF9AE}" pid="21" name="FSC#COOELAK@1.1001:OwnerExtension">
    <vt:lpwstr/>
  </property>
  <property fmtid="{D5CDD505-2E9C-101B-9397-08002B2CF9AE}" pid="22" name="FSC#COOELAK@1.1001:OwnerFaxExtension">
    <vt:lpwstr/>
  </property>
  <property fmtid="{D5CDD505-2E9C-101B-9397-08002B2CF9AE}" pid="23" name="FSC#COOELAK@1.1001:DispatchedBy">
    <vt:lpwstr/>
  </property>
  <property fmtid="{D5CDD505-2E9C-101B-9397-08002B2CF9AE}" pid="24" name="FSC#COOELAK@1.1001:DispatchedAt">
    <vt:lpwstr/>
  </property>
  <property fmtid="{D5CDD505-2E9C-101B-9397-08002B2CF9AE}" pid="25" name="FSC#COOELAK@1.1001:ApprovedBy">
    <vt:lpwstr>Rechenberg Bettina</vt:lpwstr>
  </property>
  <property fmtid="{D5CDD505-2E9C-101B-9397-08002B2CF9AE}" pid="26" name="FSC#COOELAK@1.1001:ApprovedAt">
    <vt:lpwstr>29.04.2022</vt:lpwstr>
  </property>
  <property fmtid="{D5CDD505-2E9C-101B-9397-08002B2CF9AE}" pid="27" name="FSC#COOELAK@1.1001:Department">
    <vt:lpwstr>III 1.3 (Fachgebiet III 1.3 - Ökodesign, Umweltkennzeichnung, umweltfreundliche Beschaffung)</vt:lpwstr>
  </property>
  <property fmtid="{D5CDD505-2E9C-101B-9397-08002B2CF9AE}" pid="28" name="FSC#COOELAK@1.1001:CreatedAt">
    <vt:lpwstr>28.03.2022</vt:lpwstr>
  </property>
  <property fmtid="{D5CDD505-2E9C-101B-9397-08002B2CF9AE}" pid="29" name="FSC#COOELAK@1.1001:OU">
    <vt:lpwstr>III 1.3 (Fachgebiet III 1.3 - Ökodesign, Umweltkennzeichnung, umweltfreundliche Beschaffung)</vt:lpwstr>
  </property>
  <property fmtid="{D5CDD505-2E9C-101B-9397-08002B2CF9AE}" pid="30" name="FSC#COOELAK@1.1001:Priority">
    <vt:lpwstr> ()</vt:lpwstr>
  </property>
  <property fmtid="{D5CDD505-2E9C-101B-9397-08002B2CF9AE}" pid="31" name="FSC#COOELAK@1.1001:ObjBarCode">
    <vt:lpwstr>*COO.2245.100.5.1011709*</vt:lpwstr>
  </property>
  <property fmtid="{D5CDD505-2E9C-101B-9397-08002B2CF9AE}" pid="32" name="FSC#COOELAK@1.1001:RefBarCode">
    <vt:lpwstr>*COO.2245.100.3.206027*</vt:lpwstr>
  </property>
  <property fmtid="{D5CDD505-2E9C-101B-9397-08002B2CF9AE}" pid="33" name="FSC#COOELAK@1.1001:FileRefBarCode">
    <vt:lpwstr>*39 410/0038*</vt:lpwstr>
  </property>
  <property fmtid="{D5CDD505-2E9C-101B-9397-08002B2CF9AE}" pid="34" name="FSC#COOELAK@1.1001:ExternalRef">
    <vt:lpwstr/>
  </property>
  <property fmtid="{D5CDD505-2E9C-101B-9397-08002B2CF9AE}" pid="35" name="FSC#COOELAK@1.1001:IncomingNumber">
    <vt:lpwstr/>
  </property>
  <property fmtid="{D5CDD505-2E9C-101B-9397-08002B2CF9AE}" pid="36" name="FSC#COOELAK@1.1001:IncomingSubject">
    <vt:lpwstr/>
  </property>
  <property fmtid="{D5CDD505-2E9C-101B-9397-08002B2CF9AE}" pid="37" name="FSC#COOELAK@1.1001:ProcessResponsible">
    <vt:lpwstr/>
  </property>
  <property fmtid="{D5CDD505-2E9C-101B-9397-08002B2CF9AE}" pid="38" name="FSC#COOELAK@1.1001:ProcessResponsiblePhone">
    <vt:lpwstr/>
  </property>
  <property fmtid="{D5CDD505-2E9C-101B-9397-08002B2CF9AE}" pid="39" name="FSC#COOELAK@1.1001:ProcessResponsibleMail">
    <vt:lpwstr/>
  </property>
  <property fmtid="{D5CDD505-2E9C-101B-9397-08002B2CF9AE}" pid="40" name="FSC#COOELAK@1.1001:ProcessResponsibleFax">
    <vt:lpwstr/>
  </property>
  <property fmtid="{D5CDD505-2E9C-101B-9397-08002B2CF9AE}" pid="41" name="FSC#COOELAK@1.1001:ApproverFirstName">
    <vt:lpwstr>Bettina</vt:lpwstr>
  </property>
  <property fmtid="{D5CDD505-2E9C-101B-9397-08002B2CF9AE}" pid="42" name="FSC#COOELAK@1.1001:ApproverSurName">
    <vt:lpwstr>Rechenberg</vt:lpwstr>
  </property>
  <property fmtid="{D5CDD505-2E9C-101B-9397-08002B2CF9AE}" pid="43" name="FSC#COOELAK@1.1001:ApproverTitle">
    <vt:lpwstr/>
  </property>
  <property fmtid="{D5CDD505-2E9C-101B-9397-08002B2CF9AE}" pid="44" name="FSC#COOELAK@1.1001:ExternalDate">
    <vt:lpwstr/>
  </property>
  <property fmtid="{D5CDD505-2E9C-101B-9397-08002B2CF9AE}" pid="45" name="FSC#COOELAK@1.1001:SettlementApprovedAt">
    <vt:lpwstr>29.04.2022</vt:lpwstr>
  </property>
  <property fmtid="{D5CDD505-2E9C-101B-9397-08002B2CF9AE}" pid="46" name="FSC#COOELAK@1.1001:BaseNumber">
    <vt:lpwstr>39 410</vt:lpwstr>
  </property>
  <property fmtid="{D5CDD505-2E9C-101B-9397-08002B2CF9AE}" pid="47" name="FSC#COOELAK@1.1001:CurrentUserRolePos">
    <vt:lpwstr>Sachbearbeiter/in</vt:lpwstr>
  </property>
  <property fmtid="{D5CDD505-2E9C-101B-9397-08002B2CF9AE}" pid="48" name="FSC#COOELAK@1.1001:CurrentUserEmail">
    <vt:lpwstr>Elke.Oertl@uba.de</vt:lpwstr>
  </property>
  <property fmtid="{D5CDD505-2E9C-101B-9397-08002B2CF9AE}" pid="49" name="FSC#ELAKGOV@1.1001:PersonalSubjGender">
    <vt:lpwstr/>
  </property>
  <property fmtid="{D5CDD505-2E9C-101B-9397-08002B2CF9AE}" pid="50" name="FSC#ELAKGOV@1.1001:PersonalSubjFirstName">
    <vt:lpwstr/>
  </property>
  <property fmtid="{D5CDD505-2E9C-101B-9397-08002B2CF9AE}" pid="51" name="FSC#ELAKGOV@1.1001:PersonalSubjSurName">
    <vt:lpwstr/>
  </property>
  <property fmtid="{D5CDD505-2E9C-101B-9397-08002B2CF9AE}" pid="52" name="FSC#ELAKGOV@1.1001:PersonalSubjSalutation">
    <vt:lpwstr/>
  </property>
  <property fmtid="{D5CDD505-2E9C-101B-9397-08002B2CF9AE}" pid="53" name="FSC#ELAKGOV@1.1001:PersonalSubjAddress">
    <vt:lpwstr/>
  </property>
  <property fmtid="{D5CDD505-2E9C-101B-9397-08002B2CF9AE}" pid="54" name="FSC#ATSTATECFG@1.1001:Office">
    <vt:lpwstr/>
  </property>
  <property fmtid="{D5CDD505-2E9C-101B-9397-08002B2CF9AE}" pid="55" name="FSC#ATSTATECFG@1.1001:Agent">
    <vt:lpwstr/>
  </property>
  <property fmtid="{D5CDD505-2E9C-101B-9397-08002B2CF9AE}" pid="56" name="FSC#ATSTATECFG@1.1001:AgentPhone">
    <vt:lpwstr/>
  </property>
  <property fmtid="{D5CDD505-2E9C-101B-9397-08002B2CF9AE}" pid="57" name="FSC#ATSTATECFG@1.1001:DepartmentFax">
    <vt:lpwstr/>
  </property>
  <property fmtid="{D5CDD505-2E9C-101B-9397-08002B2CF9AE}" pid="58" name="FSC#ATSTATECFG@1.1001:DepartmentEmail">
    <vt:lpwstr/>
  </property>
  <property fmtid="{D5CDD505-2E9C-101B-9397-08002B2CF9AE}" pid="59" name="FSC#ATSTATECFG@1.1001:SubfileDate">
    <vt:lpwstr>28.03.2022</vt:lpwstr>
  </property>
  <property fmtid="{D5CDD505-2E9C-101B-9397-08002B2CF9AE}" pid="60" name="FSC#ATSTATECFG@1.1001:SubfileSubject">
    <vt:lpwstr>Veröffentlichung Leitfaden umweltfreundliche Beschaffung - Innenwandfarben</vt:lpwstr>
  </property>
  <property fmtid="{D5CDD505-2E9C-101B-9397-08002B2CF9AE}" pid="61" name="FSC#ATSTATECFG@1.1001:DepartmentZipCode">
    <vt:lpwstr/>
  </property>
  <property fmtid="{D5CDD505-2E9C-101B-9397-08002B2CF9AE}" pid="62" name="FSC#ATSTATECFG@1.1001:DepartmentCountry">
    <vt:lpwstr/>
  </property>
  <property fmtid="{D5CDD505-2E9C-101B-9397-08002B2CF9AE}" pid="63" name="FSC#ATSTATECFG@1.1001:DepartmentCity">
    <vt:lpwstr/>
  </property>
  <property fmtid="{D5CDD505-2E9C-101B-9397-08002B2CF9AE}" pid="64" name="FSC#ATSTATECFG@1.1001:DepartmentStreet">
    <vt:lpwstr/>
  </property>
  <property fmtid="{D5CDD505-2E9C-101B-9397-08002B2CF9AE}" pid="65" name="FSC#ATSTATECFG@1.1001:DepartmentDVR">
    <vt:lpwstr/>
  </property>
  <property fmtid="{D5CDD505-2E9C-101B-9397-08002B2CF9AE}" pid="66" name="FSC#ATSTATECFG@1.1001:DepartmentUID">
    <vt:lpwstr/>
  </property>
  <property fmtid="{D5CDD505-2E9C-101B-9397-08002B2CF9AE}" pid="67" name="FSC#ATSTATECFG@1.1001:SubfileReference">
    <vt:lpwstr>39 410/0038#0012-0001</vt:lpwstr>
  </property>
  <property fmtid="{D5CDD505-2E9C-101B-9397-08002B2CF9AE}" pid="68" name="FSC#ATSTATECFG@1.1001:Clause">
    <vt:lpwstr/>
  </property>
  <property fmtid="{D5CDD505-2E9C-101B-9397-08002B2CF9AE}" pid="69" name="FSC#ATSTATECFG@1.1001:ApprovedSignature">
    <vt:lpwstr/>
  </property>
  <property fmtid="{D5CDD505-2E9C-101B-9397-08002B2CF9AE}" pid="70" name="FSC#ATSTATECFG@1.1001:BankAccount">
    <vt:lpwstr/>
  </property>
  <property fmtid="{D5CDD505-2E9C-101B-9397-08002B2CF9AE}" pid="71" name="FSC#ATSTATECFG@1.1001:BankAccountOwner">
    <vt:lpwstr/>
  </property>
  <property fmtid="{D5CDD505-2E9C-101B-9397-08002B2CF9AE}" pid="72" name="FSC#ATSTATECFG@1.1001:BankInstitute">
    <vt:lpwstr/>
  </property>
  <property fmtid="{D5CDD505-2E9C-101B-9397-08002B2CF9AE}" pid="73" name="FSC#ATSTATECFG@1.1001:BankAccountID">
    <vt:lpwstr/>
  </property>
  <property fmtid="{D5CDD505-2E9C-101B-9397-08002B2CF9AE}" pid="74" name="FSC#ATSTATECFG@1.1001:BankAccountIBAN">
    <vt:lpwstr/>
  </property>
  <property fmtid="{D5CDD505-2E9C-101B-9397-08002B2CF9AE}" pid="75" name="FSC#ATSTATECFG@1.1001:BankAccountBIC">
    <vt:lpwstr/>
  </property>
  <property fmtid="{D5CDD505-2E9C-101B-9397-08002B2CF9AE}" pid="76" name="FSC#ATSTATECFG@1.1001:BankName">
    <vt:lpwstr/>
  </property>
  <property fmtid="{D5CDD505-2E9C-101B-9397-08002B2CF9AE}" pid="77" name="FSC#FSCGOVDE@1.1001:FileRefOUEmail">
    <vt:lpwstr/>
  </property>
  <property fmtid="{D5CDD505-2E9C-101B-9397-08002B2CF9AE}" pid="78" name="FSC#FSCGOVDE@1.1001:ProcedureReference">
    <vt:lpwstr>39 410/0038#0012</vt:lpwstr>
  </property>
  <property fmtid="{D5CDD505-2E9C-101B-9397-08002B2CF9AE}" pid="79" name="FSC#FSCGOVDE@1.1001:FileSubject">
    <vt:lpwstr>Profilierung der umweltfreundlichen Beschaffung durch Integration des modernisierten Vergaberechts in die Praxis FKZ 3717 37 3150</vt:lpwstr>
  </property>
  <property fmtid="{D5CDD505-2E9C-101B-9397-08002B2CF9AE}" pid="80" name="FSC#FSCGOVDE@1.1001:ProcedureSubject">
    <vt:lpwstr>Veröffentlichung Leitfaden umweltfreundliche Beschaffung - Innenwandfarben</vt:lpwstr>
  </property>
  <property fmtid="{D5CDD505-2E9C-101B-9397-08002B2CF9AE}" pid="81" name="FSC#FSCGOVDE@1.1001:SignFinalVersionBy">
    <vt:lpwstr>Rechenberg Bettina</vt:lpwstr>
  </property>
  <property fmtid="{D5CDD505-2E9C-101B-9397-08002B2CF9AE}" pid="82" name="FSC#FSCGOVDE@1.1001:SignFinalVersionAt">
    <vt:lpwstr>29.04.2022</vt:lpwstr>
  </property>
  <property fmtid="{D5CDD505-2E9C-101B-9397-08002B2CF9AE}" pid="83" name="FSC#FSCGOVDE@1.1001:ProcedureRefBarCode">
    <vt:lpwstr>39 410/0038#0012</vt:lpwstr>
  </property>
  <property fmtid="{D5CDD505-2E9C-101B-9397-08002B2CF9AE}" pid="84" name="FSC#FSCGOVDE@1.1001:FileAddSubj">
    <vt:lpwstr/>
  </property>
  <property fmtid="{D5CDD505-2E9C-101B-9397-08002B2CF9AE}" pid="85" name="FSC#FSCGOVDE@1.1001:DocumentSubj">
    <vt:lpwstr>Veröffentlichung Leitfaden umweltfreundliche Beschaffung - Innenwandfarben</vt:lpwstr>
  </property>
  <property fmtid="{D5CDD505-2E9C-101B-9397-08002B2CF9AE}" pid="86" name="FSC#FSCGOVDE@1.1001:FileRel">
    <vt:lpwstr/>
  </property>
  <property fmtid="{D5CDD505-2E9C-101B-9397-08002B2CF9AE}" pid="87" name="FSC#COOSYSTEM@1.1:Container">
    <vt:lpwstr>COO.2245.100.5.1011709</vt:lpwstr>
  </property>
  <property fmtid="{D5CDD505-2E9C-101B-9397-08002B2CF9AE}" pid="88" name="FSC#FSCFOLIO@1.1001:docpropproject">
    <vt:lpwstr/>
  </property>
</Properties>
</file>