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B11199">
      <w:pPr>
        <w:pStyle w:val="01SeiteHeadline"/>
      </w:pPr>
      <w:bookmarkStart w:id="0" w:name="_Toc214098525"/>
      <w:bookmarkStart w:id="1" w:name="_GoBack"/>
      <w:bookmarkEnd w:id="1"/>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10DBCFF3"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5B00DA">
            <w:t>e</w:t>
          </w:r>
          <w:r w:rsidR="00763E06">
            <w:t xml:space="preserve">missionsarmen </w:t>
          </w:r>
          <w:r w:rsidR="00622FC4" w:rsidRPr="00622FC4">
            <w:t xml:space="preserve">Bodenbelagsklebstoffen und </w:t>
          </w:r>
          <w:r w:rsidR="005B00DA">
            <w:br/>
          </w:r>
          <w:r w:rsidR="00622FC4" w:rsidRPr="00622FC4">
            <w:t>anderen Verlegewerkstoffen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085A3D">
      <w:pPr>
        <w:pStyle w:val="Textkrperkursiv"/>
        <w:sectPr w:rsidR="00FC78DC" w:rsidSect="004C4DFF">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15D27F0C" w14:textId="77777777" w:rsidR="00FA4D2B" w:rsidRDefault="002B3003" w:rsidP="00085A3D">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085A3D">
            <w:pPr>
              <w:pStyle w:val="TabellentextKopfzeile"/>
            </w:pPr>
            <w:r>
              <w:t>Produktname</w:t>
            </w:r>
          </w:p>
        </w:tc>
        <w:tc>
          <w:tcPr>
            <w:tcW w:w="6939" w:type="dxa"/>
            <w:vAlign w:val="center"/>
          </w:tcPr>
          <w:p w14:paraId="610900C6" w14:textId="77777777" w:rsidR="00FA4D2B" w:rsidRPr="00A401E0" w:rsidRDefault="00FA4D2B" w:rsidP="00085A3D">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085A3D">
            <w:pPr>
              <w:pStyle w:val="TabellentextKopfzeile"/>
            </w:pPr>
            <w:r>
              <w:t>Hersteller</w:t>
            </w:r>
          </w:p>
        </w:tc>
        <w:tc>
          <w:tcPr>
            <w:tcW w:w="6939" w:type="dxa"/>
            <w:vAlign w:val="center"/>
          </w:tcPr>
          <w:p w14:paraId="712779D0" w14:textId="77777777" w:rsidR="00FA4D2B" w:rsidRPr="00A401E0" w:rsidRDefault="00FA4D2B" w:rsidP="00085A3D">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085A3D">
            <w:pPr>
              <w:pStyle w:val="TabellentextKopfzeile"/>
            </w:pPr>
            <w:r>
              <w:t>Bieter</w:t>
            </w:r>
          </w:p>
        </w:tc>
        <w:tc>
          <w:tcPr>
            <w:tcW w:w="6939" w:type="dxa"/>
            <w:vAlign w:val="center"/>
          </w:tcPr>
          <w:p w14:paraId="188602F6" w14:textId="77777777" w:rsidR="00FA4D2B" w:rsidRPr="00A401E0" w:rsidRDefault="00FA4D2B" w:rsidP="00085A3D">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085A3D">
            <w:pPr>
              <w:pStyle w:val="TabellentextKopfzeile"/>
            </w:pPr>
            <w:r>
              <w:t>Anschrift des Bieters</w:t>
            </w:r>
          </w:p>
        </w:tc>
        <w:tc>
          <w:tcPr>
            <w:tcW w:w="6939" w:type="dxa"/>
            <w:vAlign w:val="center"/>
          </w:tcPr>
          <w:p w14:paraId="0BB02C74" w14:textId="77777777" w:rsidR="00FA4D2B" w:rsidRPr="00A401E0" w:rsidRDefault="00FA4D2B" w:rsidP="00085A3D">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085A3D">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085A3D">
            <w:pPr>
              <w:pStyle w:val="TabellentextKopfzeile"/>
            </w:pPr>
            <w:r w:rsidRPr="0090376D">
              <w:t>Umweltzeichen Blauer Engel vorhanden?</w:t>
            </w:r>
          </w:p>
        </w:tc>
      </w:tr>
      <w:tr w:rsidR="00FA4D2B" w14:paraId="1B98EFA9" w14:textId="77777777" w:rsidTr="00654264">
        <w:tc>
          <w:tcPr>
            <w:tcW w:w="8926" w:type="dxa"/>
          </w:tcPr>
          <w:p w14:paraId="66CEDF10" w14:textId="7DED9C21" w:rsidR="00147E6F" w:rsidRDefault="00147E6F" w:rsidP="00085A3D">
            <w:pPr>
              <w:pStyle w:val="Tabellentext"/>
            </w:pPr>
            <w:r w:rsidRPr="00147E6F">
              <w:t xml:space="preserve">Das angebotene Produkt ist mit dem Umweltzeichen Blauer Engel für </w:t>
            </w:r>
            <w:sdt>
              <w:sdtPr>
                <w:id w:val="-1666619642"/>
                <w:placeholder>
                  <w:docPart w:val="0A4221A7B88848CFA832EFE535E63E49"/>
                </w:placeholder>
              </w:sdtPr>
              <w:sdtEndPr/>
              <w:sdtContent>
                <w:r w:rsidR="00371DBA">
                  <w:t xml:space="preserve">emissionsarme </w:t>
                </w:r>
                <w:r w:rsidR="00FD0939" w:rsidRPr="00FD0939">
                  <w:t xml:space="preserve">Bodenbelagsklebstoffe und anderen </w:t>
                </w:r>
                <w:proofErr w:type="spellStart"/>
                <w:r w:rsidR="00FD0939" w:rsidRPr="00FD0939">
                  <w:t>Verlegewerkstoffe</w:t>
                </w:r>
                <w:proofErr w:type="spellEnd"/>
              </w:sdtContent>
            </w:sdt>
            <w:r w:rsidRPr="00147E6F">
              <w:t xml:space="preserve"> (DE-UZ </w:t>
            </w:r>
            <w:sdt>
              <w:sdtPr>
                <w:id w:val="-1584991256"/>
                <w:placeholder>
                  <w:docPart w:val="0A4221A7B88848CFA832EFE535E63E49"/>
                </w:placeholder>
              </w:sdtPr>
              <w:sdtEndPr/>
              <w:sdtContent>
                <w:r w:rsidR="00FD0939">
                  <w:t>113</w:t>
                </w:r>
              </w:sdtContent>
            </w:sdt>
            <w:r w:rsidRPr="00147E6F">
              <w:t xml:space="preserve">, Ausgabe </w:t>
            </w:r>
            <w:sdt>
              <w:sdtPr>
                <w:id w:val="1903938905"/>
                <w:placeholder>
                  <w:docPart w:val="0A4221A7B88848CFA832EFE535E63E49"/>
                </w:placeholder>
              </w:sdtPr>
              <w:sdtEndPr/>
              <w:sdtContent>
                <w:r w:rsidR="00FD0939" w:rsidRPr="00FD0939">
                  <w:t>Januar 2019</w:t>
                </w:r>
              </w:sdtContent>
            </w:sdt>
            <w:r w:rsidRPr="00147E6F">
              <w:t>) zertifiziert.</w:t>
            </w:r>
          </w:p>
          <w:p w14:paraId="5EE57A21" w14:textId="7685D556" w:rsidR="00E15705" w:rsidRDefault="00E15705" w:rsidP="00085A3D">
            <w:pPr>
              <w:pStyle w:val="Tabellentext"/>
            </w:pPr>
            <w:r>
              <w:t xml:space="preserve">Die in der Tabelle des folgenden Abschnitts „Anforderungen“ zu den </w:t>
            </w:r>
            <w:r w:rsidRPr="00147E6F">
              <w:t xml:space="preserve">Ziffern </w:t>
            </w:r>
            <w:r w:rsidRPr="00FD0939">
              <w:t xml:space="preserve">1 bis 2 und 4.1 bis </w:t>
            </w:r>
            <w:r>
              <w:t>5 genannten Ausschlusskriterien sind damit erfüllt, weshalb die Vorlage von Dokumenten (Anlagen) zum Nachweis der Einhaltung nicht erforderlich ist.</w:t>
            </w:r>
          </w:p>
          <w:p w14:paraId="07564B91" w14:textId="01264B0E" w:rsidR="005C7011" w:rsidRDefault="005C7011" w:rsidP="00085A3D">
            <w:pPr>
              <w:pStyle w:val="Tabellentext"/>
            </w:pPr>
          </w:p>
          <w:p w14:paraId="7C21E818" w14:textId="6A2597F8" w:rsidR="00E15705" w:rsidRDefault="007C57FE" w:rsidP="00085A3D">
            <w:pPr>
              <w:pStyle w:val="Tabellentext"/>
            </w:pPr>
            <w:r>
              <w:t xml:space="preserve">Bei Einhaltung des Bewertungskriteriums in Ziffer 3 des Abschnitts „Anforderungen“ wird dies durch Ankreuzen in der rechten Tabellenspalte bestätigt. Der erforderliche Nachweis (Spalte „Anmerkungen“) liegt diesem Angebot – ergänzend zum Umweltzeichen Blauer Engel – bei. </w:t>
            </w:r>
            <w:r w:rsidR="005C7011" w:rsidRPr="005C7011">
              <w:t>D</w:t>
            </w:r>
            <w:r w:rsidR="005C7011">
              <w:t>er</w:t>
            </w:r>
            <w:r w:rsidR="005C7011" w:rsidRPr="005C7011">
              <w:t xml:space="preserve"> abgefragte Wert zu der Ziffer</w:t>
            </w:r>
            <w:r w:rsidR="005C7011">
              <w:t xml:space="preserve"> 3 wird</w:t>
            </w:r>
            <w:r w:rsidR="005C7011" w:rsidRPr="005C7011">
              <w:t xml:space="preserve"> angegeben.</w:t>
            </w:r>
          </w:p>
          <w:p w14:paraId="004D7FBD" w14:textId="77777777" w:rsidR="005C7011" w:rsidRDefault="005C7011" w:rsidP="00085A3D">
            <w:pPr>
              <w:pStyle w:val="Tabellentext"/>
            </w:pPr>
          </w:p>
          <w:p w14:paraId="7F3C2E47" w14:textId="50F0968F" w:rsidR="00840191" w:rsidRDefault="00147E6F" w:rsidP="00085A3D">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42C85CB2" w14:textId="77777777" w:rsidR="00FA4D2B" w:rsidRDefault="00FA4D2B" w:rsidP="00085A3D">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B92EFB">
              <w:rPr>
                <w:rFonts w:eastAsia="Calibri"/>
              </w:rPr>
            </w:r>
            <w:r w:rsidR="00B92EF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085A3D">
      <w:pPr>
        <w:pStyle w:val="Textkrper"/>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085A3D">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085A3D">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085A3D">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085A3D">
            <w:pPr>
              <w:pStyle w:val="Tabellentext"/>
            </w:pPr>
          </w:p>
          <w:p w14:paraId="2873CD30" w14:textId="47F213FB" w:rsidR="00147E6F" w:rsidRDefault="00147E6F" w:rsidP="00085A3D">
            <w:pPr>
              <w:pStyle w:val="Tabellentext"/>
            </w:pPr>
            <w:r>
              <w:t>In d</w:t>
            </w:r>
            <w:r w:rsidRPr="006816B7">
              <w:t xml:space="preserve">er Tabelle des folgenden Abschnitts „Anforderungen“ </w:t>
            </w:r>
            <w:r>
              <w:t xml:space="preserve">bestätigt der Bieter durch Ankreuzen in der rechten Tabellenspalte der Ziffern </w:t>
            </w:r>
            <w:sdt>
              <w:sdtPr>
                <w:id w:val="792337823"/>
                <w:placeholder>
                  <w:docPart w:val="176D97C76F61471C88E9256F251A32AF"/>
                </w:placeholder>
              </w:sdtPr>
              <w:sdtEndPr/>
              <w:sdtContent>
                <w:r w:rsidR="00FD0939" w:rsidRPr="00FD0939">
                  <w:t xml:space="preserve">1 bis 2 und 4.1 bis </w:t>
                </w:r>
                <w:r w:rsidR="00E15705">
                  <w:t>5</w:t>
                </w:r>
              </w:sdtContent>
            </w:sdt>
            <w:r>
              <w:t>, dass das vorgelegte Gütezeichen die Erfüllung der hier genannten Ausschlussk</w:t>
            </w:r>
            <w:r w:rsidRPr="006816B7">
              <w:t xml:space="preserve">riterien </w:t>
            </w:r>
            <w:r>
              <w:t>fordert. D</w:t>
            </w:r>
            <w:r w:rsidRPr="006816B7">
              <w:t xml:space="preserve">ie Vorlage </w:t>
            </w:r>
            <w:r>
              <w:t>der in der Spalte „Anmerkung“ genannten Nachweise ist für diese Ziffern nicht erforderlich</w:t>
            </w:r>
            <w:r w:rsidRPr="006816B7">
              <w:t>.</w:t>
            </w:r>
          </w:p>
          <w:p w14:paraId="583AAA0D" w14:textId="77777777" w:rsidR="00161A1E" w:rsidRDefault="00161A1E" w:rsidP="00085A3D">
            <w:pPr>
              <w:pStyle w:val="Tabellentext"/>
            </w:pPr>
          </w:p>
          <w:p w14:paraId="71A87CB3" w14:textId="3F9DC8D8" w:rsidR="00161A1E" w:rsidRDefault="00161A1E" w:rsidP="00085A3D">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6B65C19F" w14:textId="77777777" w:rsidR="00161A1E" w:rsidRDefault="00161A1E" w:rsidP="00085A3D">
            <w:pPr>
              <w:pStyle w:val="Tabellentext"/>
            </w:pPr>
          </w:p>
          <w:p w14:paraId="2094B335" w14:textId="676B0824" w:rsidR="00763E06" w:rsidRDefault="00147E6F" w:rsidP="00085A3D">
            <w:pPr>
              <w:pStyle w:val="Tabellentext"/>
            </w:pPr>
            <w:r>
              <w:t>Bei Einhaltung de</w:t>
            </w:r>
            <w:r w:rsidR="007C57FE">
              <w:t>s</w:t>
            </w:r>
            <w:r>
              <w:t xml:space="preserve"> unter der Ziffer</w:t>
            </w:r>
            <w:r w:rsidR="00103F32">
              <w:t xml:space="preserve"> </w:t>
            </w:r>
            <w:sdt>
              <w:sdtPr>
                <w:id w:val="-229619462"/>
                <w:placeholder>
                  <w:docPart w:val="2871DDEBF08F4FEBA724B4ABE0C3EF5E"/>
                </w:placeholder>
              </w:sdtPr>
              <w:sdtEndPr/>
              <w:sdtContent>
                <w:r w:rsidR="00103F32" w:rsidRPr="00103F32">
                  <w:t>3</w:t>
                </w:r>
              </w:sdtContent>
            </w:sdt>
            <w:r>
              <w:t xml:space="preserve"> genannten Bewertungskriteri</w:t>
            </w:r>
            <w:r w:rsidR="007C57FE">
              <w:t>ums</w:t>
            </w:r>
            <w:r>
              <w:t xml:space="preserve"> ist dies ebenfalls durch Ankreuzen in der rechten Tabellenspalte im Abschnitt „Anforderungen“ zu bestätigen. Die Vorlage des in der Spalte „Anmerkung“ genannten Nachweises ist nur erforderlich, sofern das Kriterium nicht in den Gütezeichenanforderungen des vorgelegten Zeichens enthalten ist.</w:t>
            </w:r>
            <w:r w:rsidR="007C57FE">
              <w:t xml:space="preserve"> </w:t>
            </w:r>
            <w:r w:rsidR="00763E06">
              <w:t>Der</w:t>
            </w:r>
            <w:r w:rsidR="00763E06" w:rsidRPr="0090376D">
              <w:t xml:space="preserve"> </w:t>
            </w:r>
            <w:r w:rsidR="00763E06">
              <w:t xml:space="preserve">in der Tabelle des folgenden Abschnitts „Anforderungen“ </w:t>
            </w:r>
            <w:r w:rsidR="00763E06" w:rsidRPr="00BC38D1">
              <w:t>unter Ziffer</w:t>
            </w:r>
            <w:r w:rsidR="00763E06">
              <w:t xml:space="preserve"> </w:t>
            </w:r>
            <w:sdt>
              <w:sdtPr>
                <w:id w:val="300506974"/>
                <w:placeholder>
                  <w:docPart w:val="29CA58FE89BB4B2D8408FDDF30D83BED"/>
                </w:placeholder>
              </w:sdtPr>
              <w:sdtEndPr/>
              <w:sdtContent>
                <w:r w:rsidR="00763E06">
                  <w:t>3</w:t>
                </w:r>
              </w:sdtContent>
            </w:sdt>
            <w:r w:rsidR="00763E06" w:rsidRPr="00BC38D1">
              <w:t xml:space="preserve"> abgefragte Wert </w:t>
            </w:r>
            <w:r w:rsidR="00763E06">
              <w:t>wird</w:t>
            </w:r>
            <w:r w:rsidR="00763E06" w:rsidRPr="00BC38D1">
              <w:t xml:space="preserve"> wahrheitsgemäß angegeben. </w:t>
            </w:r>
          </w:p>
        </w:tc>
        <w:tc>
          <w:tcPr>
            <w:tcW w:w="702" w:type="dxa"/>
            <w:vAlign w:val="center"/>
          </w:tcPr>
          <w:p w14:paraId="03ABBAF2" w14:textId="77777777" w:rsidR="00FA4D2B" w:rsidRDefault="00FA4D2B" w:rsidP="00085A3D">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B92EFB">
              <w:rPr>
                <w:rFonts w:eastAsia="Calibri"/>
              </w:rPr>
            </w:r>
            <w:r w:rsidR="00B92EF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67C48B3E" w14:textId="29A34D8D" w:rsidR="007840FF" w:rsidRDefault="007840FF">
      <w:pPr>
        <w:spacing w:after="0"/>
        <w:rPr>
          <w:rFonts w:ascii="Calibri" w:hAnsi="Calibri"/>
          <w:sz w:val="20"/>
        </w:rPr>
      </w:pPr>
    </w:p>
    <w:p w14:paraId="78E2D56A" w14:textId="77777777" w:rsidR="007840FF" w:rsidRDefault="007840FF">
      <w:pPr>
        <w:spacing w:after="0"/>
        <w:rPr>
          <w:rFonts w:ascii="Calibri" w:hAnsi="Calibri"/>
          <w:sz w:val="20"/>
        </w:rPr>
      </w:pPr>
      <w:r>
        <w:rPr>
          <w:rFonts w:ascii="Calibri" w:hAnsi="Calibri"/>
          <w:sz w:val="20"/>
        </w:rPr>
        <w:br w:type="page"/>
      </w: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4CF62022" w:rsidR="00FA4D2B" w:rsidRDefault="00FA4D2B" w:rsidP="00085A3D">
            <w:pPr>
              <w:pStyle w:val="TabellentextKopfzeile"/>
            </w:pPr>
            <w:r w:rsidRPr="00070FDF">
              <w:lastRenderedPageBreak/>
              <w:t>Kein Gütezeichen vorhanden?</w:t>
            </w:r>
          </w:p>
        </w:tc>
      </w:tr>
      <w:tr w:rsidR="00FA4D2B" w14:paraId="47332623" w14:textId="77777777" w:rsidTr="00654264">
        <w:tc>
          <w:tcPr>
            <w:tcW w:w="8926" w:type="dxa"/>
          </w:tcPr>
          <w:p w14:paraId="5EEFF4CA" w14:textId="7AA723B3" w:rsidR="00161A1E" w:rsidRDefault="00147E6F" w:rsidP="00085A3D">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Blauer Engel für</w:t>
            </w:r>
            <w:r w:rsidR="00103F32">
              <w:t xml:space="preserve"> </w:t>
            </w:r>
            <w:sdt>
              <w:sdtPr>
                <w:id w:val="-1082516943"/>
                <w:placeholder>
                  <w:docPart w:val="0B3D78002D1B43628C578F268BE88432"/>
                </w:placeholder>
              </w:sdtPr>
              <w:sdtEndPr/>
              <w:sdtContent>
                <w:r w:rsidR="007C3041">
                  <w:t>e</w:t>
                </w:r>
                <w:r w:rsidR="00103F32" w:rsidRPr="00103F32">
                  <w:t>missionsarme Bodenbelagsklebstoffe und andere Verlegewerkstoffe</w:t>
                </w:r>
              </w:sdtContent>
            </w:sdt>
            <w:r w:rsidRPr="00142B78">
              <w:t xml:space="preserve"> (</w:t>
            </w:r>
            <w:r>
              <w:t>DE</w:t>
            </w:r>
            <w:r w:rsidRPr="00142B78">
              <w:t xml:space="preserve">-UZ </w:t>
            </w:r>
            <w:sdt>
              <w:sdtPr>
                <w:id w:val="156664141"/>
                <w:placeholder>
                  <w:docPart w:val="0B3D78002D1B43628C578F268BE88432"/>
                </w:placeholder>
              </w:sdtPr>
              <w:sdtEndPr/>
              <w:sdtContent>
                <w:r w:rsidR="00103F32">
                  <w:t>113</w:t>
                </w:r>
              </w:sdtContent>
            </w:sdt>
            <w:r w:rsidRPr="00142B78">
              <w:t xml:space="preserve">, Ausgabe </w:t>
            </w:r>
            <w:sdt>
              <w:sdtPr>
                <w:id w:val="-1257909660"/>
                <w:placeholder>
                  <w:docPart w:val="0B3D78002D1B43628C578F268BE88432"/>
                </w:placeholder>
              </w:sdtPr>
              <w:sdtEndPr/>
              <w:sdtContent>
                <w:r w:rsidR="00103F32" w:rsidRPr="00103F32">
                  <w:t>Januar 2019</w:t>
                </w:r>
              </w:sdtContent>
            </w:sdt>
            <w:r w:rsidRPr="00142B78">
              <w:t>)</w:t>
            </w:r>
            <w:r w:rsidRPr="00070FDF">
              <w:t xml:space="preserve"> noch mit einem </w:t>
            </w:r>
            <w:r w:rsidR="001906D1">
              <w:t>gleichwertigen</w:t>
            </w:r>
            <w:r w:rsidRPr="00070FDF">
              <w:t xml:space="preserve"> Gütezeichen gekennzeichnet</w:t>
            </w:r>
            <w:r>
              <w:t>.</w:t>
            </w:r>
          </w:p>
          <w:p w14:paraId="27C938A2" w14:textId="77777777" w:rsidR="000874D3" w:rsidRDefault="000874D3" w:rsidP="00085A3D">
            <w:pPr>
              <w:pStyle w:val="Tabellentext"/>
            </w:pPr>
          </w:p>
          <w:p w14:paraId="398D565D" w14:textId="70B2CCE5" w:rsidR="007C57FE" w:rsidRDefault="005F2F2E" w:rsidP="00085A3D">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w:t>
            </w:r>
            <w:r w:rsidR="00F944DB">
              <w:t>Die in der Spalte „Anmerkung“ genannten Nachweise liegen dem Angebot bei.</w:t>
            </w:r>
          </w:p>
          <w:p w14:paraId="58BFDC9A" w14:textId="67662E76" w:rsidR="000B1053" w:rsidRDefault="005F2F2E" w:rsidP="00085A3D">
            <w:pPr>
              <w:pStyle w:val="Tabellentext"/>
            </w:pPr>
            <w:r>
              <w:t>Bei Einhaltung de</w:t>
            </w:r>
            <w:r w:rsidR="007C57FE">
              <w:t>s</w:t>
            </w:r>
            <w:r>
              <w:t xml:space="preserve"> </w:t>
            </w:r>
            <w:r w:rsidR="00F944DB">
              <w:t xml:space="preserve">unter Ziffer 3 genannten </w:t>
            </w:r>
            <w:r>
              <w:t>Bewertungskriteri</w:t>
            </w:r>
            <w:r w:rsidR="007C57FE">
              <w:t>ums</w:t>
            </w:r>
            <w:r>
              <w:t xml:space="preserve"> ist dies ebenfalls durch Ankreuzen zu bestätigen</w:t>
            </w:r>
            <w:r w:rsidR="00F944DB">
              <w:t xml:space="preserve"> und der</w:t>
            </w:r>
            <w:r w:rsidRPr="00FA4151">
              <w:t xml:space="preserve"> </w:t>
            </w:r>
            <w:r>
              <w:t xml:space="preserve">in der Spalte „Anmerkung“ </w:t>
            </w:r>
            <w:r w:rsidRPr="00FA4151">
              <w:t>ge</w:t>
            </w:r>
            <w:r>
              <w:t>nannte</w:t>
            </w:r>
            <w:r w:rsidRPr="00FA4151">
              <w:t xml:space="preserve"> Nachweis </w:t>
            </w:r>
            <w:r w:rsidR="00F944DB">
              <w:t xml:space="preserve">ist </w:t>
            </w:r>
            <w:r w:rsidRPr="00FA4151">
              <w:t>dem Angebot bei</w:t>
            </w:r>
            <w:r w:rsidR="00F944DB">
              <w:t>zulegen</w:t>
            </w:r>
            <w:r w:rsidRPr="00FA4151">
              <w:t xml:space="preserve">. </w:t>
            </w:r>
            <w:r w:rsidR="005C7011" w:rsidRPr="001A2BE2">
              <w:t>Darüber hinaus w</w:t>
            </w:r>
            <w:r w:rsidR="005C7011">
              <w:t>ird</w:t>
            </w:r>
            <w:r w:rsidR="005C7011" w:rsidRPr="001A2BE2">
              <w:t xml:space="preserve"> d</w:t>
            </w:r>
            <w:r w:rsidR="005C7011">
              <w:t>er</w:t>
            </w:r>
            <w:r w:rsidR="005C7011" w:rsidRPr="001A2BE2">
              <w:t xml:space="preserve"> in der Tabelle des folgenden Abschnitts „Anforderungen“ unter Ziffer </w:t>
            </w:r>
            <w:sdt>
              <w:sdtPr>
                <w:id w:val="-949312369"/>
                <w:placeholder>
                  <w:docPart w:val="D27F1D6DBCEB41058E3FD840BB17D36E"/>
                </w:placeholder>
              </w:sdtPr>
              <w:sdtEndPr/>
              <w:sdtContent>
                <w:r w:rsidR="005C7011">
                  <w:t xml:space="preserve">3 </w:t>
                </w:r>
              </w:sdtContent>
            </w:sdt>
            <w:r w:rsidR="005C7011" w:rsidRPr="001A2BE2">
              <w:t>abgefragte Wert angegeben.</w:t>
            </w:r>
          </w:p>
        </w:tc>
        <w:tc>
          <w:tcPr>
            <w:tcW w:w="702" w:type="dxa"/>
            <w:vAlign w:val="center"/>
          </w:tcPr>
          <w:p w14:paraId="537EEC11" w14:textId="77777777" w:rsidR="00FA4D2B" w:rsidRDefault="00FA4D2B" w:rsidP="00085A3D">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B92EFB">
              <w:rPr>
                <w:rFonts w:eastAsia="Calibri"/>
              </w:rPr>
            </w:r>
            <w:r w:rsidR="00B92EF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F89F582" w14:textId="77777777" w:rsidR="00280A56" w:rsidRDefault="00280A56" w:rsidP="00085A3D">
      <w:pPr>
        <w:pStyle w:val="Tabellentext"/>
      </w:pPr>
    </w:p>
    <w:p w14:paraId="104ADE04" w14:textId="7A9C6E7D" w:rsidR="00FA4D2B" w:rsidRDefault="0071078D" w:rsidP="00085A3D">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465DA" w:rsidRPr="004C4B67" w14:paraId="3EFF5A81" w14:textId="77777777" w:rsidTr="00380147">
        <w:trPr>
          <w:trHeight w:val="152"/>
          <w:tblHeader/>
        </w:trPr>
        <w:tc>
          <w:tcPr>
            <w:tcW w:w="5440" w:type="dxa"/>
            <w:shd w:val="clear" w:color="auto" w:fill="929295" w:themeFill="text1" w:themeFillTint="99"/>
            <w:vAlign w:val="center"/>
          </w:tcPr>
          <w:p w14:paraId="1B7140D5" w14:textId="77777777" w:rsidR="003465DA" w:rsidRPr="00994FEC" w:rsidRDefault="003465DA" w:rsidP="00085A3D">
            <w:pPr>
              <w:pStyle w:val="TabellentextKopfzeile"/>
            </w:pPr>
            <w:r w:rsidRPr="00994FEC">
              <w:t>Kriterium</w:t>
            </w:r>
          </w:p>
        </w:tc>
        <w:tc>
          <w:tcPr>
            <w:tcW w:w="2268" w:type="dxa"/>
            <w:shd w:val="clear" w:color="auto" w:fill="929295" w:themeFill="text1" w:themeFillTint="99"/>
            <w:vAlign w:val="center"/>
          </w:tcPr>
          <w:p w14:paraId="62D0F542" w14:textId="77777777" w:rsidR="003465DA" w:rsidRPr="00994FEC" w:rsidRDefault="003465DA" w:rsidP="00085A3D">
            <w:pPr>
              <w:pStyle w:val="TabellentextKopfzeile"/>
            </w:pPr>
            <w:r w:rsidRPr="00994FEC">
              <w:t>Anmerkung</w:t>
            </w:r>
          </w:p>
        </w:tc>
        <w:tc>
          <w:tcPr>
            <w:tcW w:w="1701" w:type="dxa"/>
            <w:shd w:val="clear" w:color="auto" w:fill="929295" w:themeFill="text1" w:themeFillTint="99"/>
            <w:vAlign w:val="center"/>
          </w:tcPr>
          <w:p w14:paraId="055DC291" w14:textId="77777777" w:rsidR="003465DA" w:rsidRPr="00994FEC" w:rsidRDefault="003465DA" w:rsidP="00085A3D">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085A3D">
            <w:pPr>
              <w:pStyle w:val="TabellentextKopfzeile"/>
            </w:pPr>
            <w:r>
              <w:t>(vom Bieter</w:t>
            </w:r>
            <w:r>
              <w:br/>
            </w:r>
            <w:r w:rsidRPr="00994FEC">
              <w:t>auszufüllen)</w:t>
            </w:r>
          </w:p>
        </w:tc>
      </w:tr>
      <w:tr w:rsidR="003465DA" w:rsidRPr="004C4B67" w14:paraId="49B3F114" w14:textId="77777777" w:rsidTr="00380147">
        <w:trPr>
          <w:trHeight w:val="185"/>
          <w:tblHeader/>
        </w:trPr>
        <w:tc>
          <w:tcPr>
            <w:tcW w:w="5440" w:type="dxa"/>
            <w:tcBorders>
              <w:bottom w:val="single" w:sz="4" w:space="0" w:color="auto"/>
            </w:tcBorders>
            <w:shd w:val="clear" w:color="auto" w:fill="D9D9D9"/>
            <w:vAlign w:val="center"/>
          </w:tcPr>
          <w:p w14:paraId="5FB01EA5" w14:textId="037A7C6F" w:rsidR="003465DA" w:rsidRPr="00994FEC" w:rsidRDefault="00103F32" w:rsidP="00085A3D">
            <w:pPr>
              <w:pStyle w:val="Tabellentext"/>
            </w:pPr>
            <w:r w:rsidRPr="00103F32">
              <w:t>1</w:t>
            </w:r>
            <w:r w:rsidRPr="00103F32">
              <w:tab/>
              <w:t>Allgemeine stoffliche Anforderungen</w:t>
            </w:r>
          </w:p>
        </w:tc>
        <w:tc>
          <w:tcPr>
            <w:tcW w:w="2268" w:type="dxa"/>
            <w:tcBorders>
              <w:bottom w:val="single" w:sz="4" w:space="0" w:color="auto"/>
            </w:tcBorders>
            <w:shd w:val="clear" w:color="auto" w:fill="D9D9D9"/>
            <w:vAlign w:val="center"/>
          </w:tcPr>
          <w:p w14:paraId="029493B6" w14:textId="77777777" w:rsidR="003465DA" w:rsidRPr="00994FEC" w:rsidRDefault="003465DA" w:rsidP="00085A3D">
            <w:pPr>
              <w:pStyle w:val="Tabellentext"/>
            </w:pPr>
          </w:p>
        </w:tc>
        <w:tc>
          <w:tcPr>
            <w:tcW w:w="1701" w:type="dxa"/>
            <w:tcBorders>
              <w:bottom w:val="single" w:sz="4" w:space="0" w:color="auto"/>
            </w:tcBorders>
            <w:shd w:val="clear" w:color="auto" w:fill="D9D9D9"/>
            <w:vAlign w:val="center"/>
          </w:tcPr>
          <w:p w14:paraId="18F35296" w14:textId="77777777" w:rsidR="003465DA" w:rsidRPr="00994FEC" w:rsidRDefault="003465DA" w:rsidP="00085A3D">
            <w:pPr>
              <w:pStyle w:val="Tabellentext"/>
            </w:pPr>
          </w:p>
        </w:tc>
      </w:tr>
      <w:tr w:rsidR="00280A56" w:rsidRPr="004C4B67" w14:paraId="602664A3" w14:textId="77777777" w:rsidTr="00380147">
        <w:trPr>
          <w:trHeight w:val="185"/>
          <w:tblHeader/>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59AD9D62" w14:textId="77777777" w:rsidR="00280A56" w:rsidRDefault="00280A56" w:rsidP="00085A3D">
            <w:pPr>
              <w:pStyle w:val="Tabellentext"/>
            </w:pPr>
            <w:r>
              <w:t>Die Einhaltung des europäischen und deutschen Chemikalienrechts sowie der branchenbezogenen Regelwerke wird vorausgesetzt (insbesondere REACH-VO Anhang XVII, POP-VO Anhang I, CLP-VO, ChemVerbotsV, Decopaint-RL, GefStoffV, VDL-RL 01, RL 92/112/EWG, 25. BImSchV, Biozidprodukte-Verordnung (BPV), VerpackG) usw. Darüber hinaus darf der Verlegewerkstoff keine Stoffe mit folgenden Eigenschaften als konstitutionelle Bestandteile enthalten:</w:t>
            </w:r>
          </w:p>
          <w:p w14:paraId="747B8D0B" w14:textId="77777777" w:rsidR="00280A56" w:rsidRDefault="00280A56" w:rsidP="00085A3D">
            <w:pPr>
              <w:pStyle w:val="Aufzhlunga"/>
            </w:pPr>
            <w:r>
              <w:t>Stoffe, die unter der Chemikalienverordnung REACH als besonders besorgniserregend identifiziert und in die gemäß REACH Artikel 59 Absatz 1 erstellte Liste (sogenannte „Kandidatenliste“) aufgenommen wurden.</w:t>
            </w:r>
          </w:p>
          <w:p w14:paraId="42DED409" w14:textId="77777777" w:rsidR="00280A56" w:rsidRDefault="00280A56" w:rsidP="00085A3D">
            <w:pPr>
              <w:pStyle w:val="Aufzhlunga"/>
            </w:pPr>
            <w:r>
              <w:t>Stoffe, die gemäß der CLP-Verordnung in die folgenden Gefahrenkategorien eingestuft sind oder die Kriterien für eine solche Einstufung erfüllen:</w:t>
            </w:r>
          </w:p>
          <w:p w14:paraId="79792C9E" w14:textId="77777777" w:rsidR="00280A56" w:rsidRDefault="00280A56" w:rsidP="00085A3D">
            <w:pPr>
              <w:pStyle w:val="Aufzhlung"/>
            </w:pPr>
            <w:r>
              <w:t>karzinogen (krebserzeugend) der Kategorie Carc. 1A oder Carc. 1B</w:t>
            </w:r>
          </w:p>
          <w:p w14:paraId="38B190F3" w14:textId="77777777" w:rsidR="00280A56" w:rsidRDefault="00280A56" w:rsidP="00085A3D">
            <w:pPr>
              <w:pStyle w:val="Aufzhlung"/>
            </w:pPr>
            <w:r>
              <w:t>keimzellmutagen (erbgutverändernd) der Kategorie Muta. 1A oder Muta. 1B</w:t>
            </w:r>
          </w:p>
          <w:p w14:paraId="0F129552" w14:textId="77777777" w:rsidR="00280A56" w:rsidRDefault="00280A56" w:rsidP="00085A3D">
            <w:pPr>
              <w:pStyle w:val="Aufzhlung"/>
            </w:pPr>
            <w:r>
              <w:t>reproduktionstoxisch (fortpflanzungsgefährdend) der Kategorie Repr. 1A oder Repr. 1B</w:t>
            </w:r>
          </w:p>
          <w:p w14:paraId="56F71280" w14:textId="77777777" w:rsidR="00280A56" w:rsidRDefault="00280A56" w:rsidP="00085A3D">
            <w:pPr>
              <w:pStyle w:val="Aufzhlung"/>
            </w:pPr>
            <w:r>
              <w:t>akut toxisch (giftig) der Kategorie Acute Tox. 1 oder Acute Tox. 2</w:t>
            </w:r>
          </w:p>
          <w:p w14:paraId="5F8D9CAD" w14:textId="73673895" w:rsidR="00280A56" w:rsidRDefault="00280A56" w:rsidP="00085A3D">
            <w:pPr>
              <w:pStyle w:val="Aufzhlung"/>
            </w:pPr>
            <w:r>
              <w:t>toxisch für spezifische Zielorgane der Kategorie STOT SE 1, STOT RE 1</w:t>
            </w:r>
          </w:p>
          <w:p w14:paraId="396A6A6B" w14:textId="77777777" w:rsidR="00280A56" w:rsidRDefault="00280A56" w:rsidP="00085A3D">
            <w:pPr>
              <w:pStyle w:val="Tabellentext"/>
            </w:pPr>
            <w:r>
              <w:t>Die den Gefahrenklassen und -kategorien entsprechenden H-Sätze sind Anhang A zu entnehmen.</w:t>
            </w:r>
          </w:p>
          <w:p w14:paraId="74414CF3" w14:textId="77777777" w:rsidR="00DE6E99" w:rsidRDefault="00DE6E99" w:rsidP="00085A3D">
            <w:pPr>
              <w:pStyle w:val="Aufzhlunga"/>
            </w:pPr>
            <w:r w:rsidRPr="00DE6E99">
              <w:t>Stoffe</w:t>
            </w:r>
            <w:r>
              <w:t>, die in der TRGS 905 eingestuft sind als:</w:t>
            </w:r>
          </w:p>
          <w:p w14:paraId="0831F83F" w14:textId="77777777" w:rsidR="00DE6E99" w:rsidRDefault="00DE6E99" w:rsidP="00085A3D">
            <w:pPr>
              <w:pStyle w:val="Aufzhlung"/>
            </w:pPr>
            <w:r>
              <w:t>krebserzeugend (K1A, K1B),</w:t>
            </w:r>
          </w:p>
          <w:p w14:paraId="000D4702" w14:textId="77777777" w:rsidR="00DE6E99" w:rsidRDefault="00DE6E99" w:rsidP="00085A3D">
            <w:pPr>
              <w:pStyle w:val="Aufzhlung"/>
            </w:pPr>
            <w:r>
              <w:t>erbgutverändernde (M1A, M1B),</w:t>
            </w:r>
          </w:p>
          <w:p w14:paraId="56C0936E" w14:textId="7E06FE10" w:rsidR="00DE6E99" w:rsidRPr="00994FEC" w:rsidRDefault="00DE6E99" w:rsidP="00085A3D">
            <w:pPr>
              <w:pStyle w:val="Aufzhlung"/>
            </w:pPr>
            <w:r>
              <w:t>fortpflanzungsgefährdend (RF1A, RF1B, RD1A, RD1B).</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E4C318" w14:textId="0DFCA59E" w:rsidR="00280A56" w:rsidRPr="00994FEC" w:rsidRDefault="00280A56" w:rsidP="00085A3D">
            <w:pPr>
              <w:pStyle w:val="Tabellentext"/>
            </w:pPr>
            <w:r w:rsidRPr="00DE6E99">
              <w:t>Ausschluss</w:t>
            </w:r>
            <w:r w:rsidRPr="00994FEC">
              <w:t xml:space="preserve">kriterium </w:t>
            </w:r>
          </w:p>
          <w:p w14:paraId="471D4B48" w14:textId="3EF96848" w:rsidR="00280A56" w:rsidRPr="00994FEC" w:rsidRDefault="00280A56" w:rsidP="00085A3D">
            <w:pPr>
              <w:pStyle w:val="Tabellentext"/>
            </w:pPr>
            <w:r w:rsidRPr="00994FEC">
              <w:t xml:space="preserve">Nachweis durch </w:t>
            </w:r>
            <w:r w:rsidRPr="00103F32">
              <w:t>Herstellererklärung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DE1A5" w14:textId="77777777" w:rsidR="00280A56" w:rsidRPr="00280A56" w:rsidRDefault="00280A56" w:rsidP="00085A3D">
            <w:pPr>
              <w:pStyle w:val="Tabellentext"/>
            </w:pPr>
            <w:r w:rsidRPr="00280A56">
              <w:fldChar w:fldCharType="begin">
                <w:ffData>
                  <w:name w:val="Kontrollkästchen6"/>
                  <w:enabled/>
                  <w:calcOnExit w:val="0"/>
                  <w:checkBox>
                    <w:sizeAuto/>
                    <w:default w:val="0"/>
                    <w:checked w:val="0"/>
                  </w:checkBox>
                </w:ffData>
              </w:fldChar>
            </w:r>
            <w:r w:rsidRPr="00280A56">
              <w:instrText xml:space="preserve"> FORMCHECKBOX </w:instrText>
            </w:r>
            <w:r w:rsidR="00B92EFB">
              <w:fldChar w:fldCharType="separate"/>
            </w:r>
            <w:r w:rsidRPr="00280A56">
              <w:fldChar w:fldCharType="end"/>
            </w:r>
          </w:p>
        </w:tc>
      </w:tr>
    </w:tbl>
    <w:p w14:paraId="24B497BA" w14:textId="77777777" w:rsidR="00280A56" w:rsidRDefault="00280A56"/>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C77931" w:rsidRPr="004C4B67" w14:paraId="703704DC" w14:textId="77777777" w:rsidTr="00380147">
        <w:trPr>
          <w:trHeight w:val="284"/>
          <w:tblHeader/>
        </w:trPr>
        <w:tc>
          <w:tcPr>
            <w:tcW w:w="5440" w:type="dxa"/>
            <w:shd w:val="clear" w:color="auto" w:fill="auto"/>
          </w:tcPr>
          <w:p w14:paraId="20A54EC1" w14:textId="21E3B32A" w:rsidR="000874D3" w:rsidRDefault="00C77931" w:rsidP="00085A3D">
            <w:pPr>
              <w:pStyle w:val="Aufzhlunga"/>
            </w:pPr>
            <w:r>
              <w:lastRenderedPageBreak/>
              <w:t>Stoffe mit anderen gefährlichen Eigenschaften in Konzentrationen, die zu einer Einstufung und Kennzeichnung des Fertigerzeugnisses mit einem GHS-Gefahrenpiktogramm für Gesundheits- und Umweltgefahren führen. Ausgenommen sind Verlegewerkstoffe, die auf Grund ihres hohen pH-Wertes während der Verarbeitung mit dem GHS-Gefahrenpiktogramm GHS05 (Ätzwirkung) oder GHS07 (Ausrufezeichen) ausgelobt werden müssen. Ebenfalls ausgenommen von dieser Regelung sind Topfkonservierer nach der „Liste der zulässigen Topfkonservierer“</w:t>
            </w:r>
            <w:r w:rsidR="005F2F2E">
              <w:t xml:space="preserve"> (Anhang B)</w:t>
            </w:r>
            <w:r>
              <w:t>.</w:t>
            </w:r>
          </w:p>
          <w:p w14:paraId="7D0781A3" w14:textId="33202FBF" w:rsidR="00C77931" w:rsidRDefault="00C77931" w:rsidP="00085A3D">
            <w:pPr>
              <w:pStyle w:val="Aufzhlunga"/>
            </w:pPr>
            <w:r>
              <w:t>Umweltgefährliche Bestandteile:</w:t>
            </w:r>
            <w:r w:rsidR="0098342B">
              <w:t xml:space="preserve"> </w:t>
            </w:r>
            <w:r>
              <w:t>Das Endprodukt darf nicht mit H400 gekennzeichnet sein. Weiter sind die Stoffe</w:t>
            </w:r>
            <w:r w:rsidR="006C6B17">
              <w:t>,</w:t>
            </w:r>
            <w:r>
              <w:t xml:space="preserve"> die als umweltgefährlich mit H410, H411 oder H412 gekennzeichnet und eingestuft sind</w:t>
            </w:r>
            <w:r w:rsidR="006C6B17">
              <w:t>,</w:t>
            </w:r>
            <w:r>
              <w:t xml:space="preserve"> im Verlegewerkstoff nach folgendem Berechnungsmodel begrenzt:</w:t>
            </w:r>
          </w:p>
          <w:p w14:paraId="240550F0" w14:textId="77777777" w:rsidR="00C77931" w:rsidRDefault="00C77931" w:rsidP="00085A3D">
            <w:pPr>
              <w:pStyle w:val="Aufzhlung"/>
            </w:pPr>
            <w:r>
              <w:t>M * 100 * H410 + 10 * H411 + H412 ≤ 11,0 %</w:t>
            </w:r>
          </w:p>
          <w:p w14:paraId="7AFED170" w14:textId="77777777" w:rsidR="00C77931" w:rsidRDefault="00C77931" w:rsidP="00085A3D">
            <w:pPr>
              <w:pStyle w:val="Tabellentext"/>
            </w:pPr>
            <w:r>
              <w:t xml:space="preserve">Wobei </w:t>
            </w:r>
            <w:r w:rsidRPr="00103F32">
              <w:t>folgendes</w:t>
            </w:r>
            <w:r>
              <w:t xml:space="preserve"> gilt:</w:t>
            </w:r>
          </w:p>
          <w:p w14:paraId="1CB5B61E" w14:textId="77777777" w:rsidR="00C77931" w:rsidRDefault="00C77931" w:rsidP="00085A3D">
            <w:pPr>
              <w:pStyle w:val="Aufzhlung"/>
            </w:pPr>
            <w:r>
              <w:t>H410 entspricht der Konzentration der mit H410 klassifizierten Stoffe in %</w:t>
            </w:r>
          </w:p>
          <w:p w14:paraId="02185D44" w14:textId="77777777" w:rsidR="00C77931" w:rsidRDefault="00C77931" w:rsidP="00085A3D">
            <w:pPr>
              <w:pStyle w:val="Aufzhlung"/>
            </w:pPr>
            <w:r>
              <w:t>H411 entspricht der Konzentration der mit H411 klassifizierten Stoffe in %</w:t>
            </w:r>
          </w:p>
          <w:p w14:paraId="7BBEAE4D" w14:textId="77777777" w:rsidR="00C77931" w:rsidRDefault="00C77931" w:rsidP="00085A3D">
            <w:pPr>
              <w:pStyle w:val="Aufzhlung"/>
            </w:pPr>
            <w:r>
              <w:t>H412 entspricht der Konzentration der mit H412 klassifizierten Stoffe in %</w:t>
            </w:r>
          </w:p>
          <w:p w14:paraId="5D31AD72" w14:textId="77777777" w:rsidR="00C77931" w:rsidRDefault="00C77931" w:rsidP="00085A3D">
            <w:pPr>
              <w:pStyle w:val="Aufzhlung"/>
            </w:pPr>
            <w:r>
              <w:t>M der Multiplikationsfaktor für H410 wird anhand des Toxizitätswertes, LC50; EC50 oder NOEC-Wertes und der biologischen Abbaubarkeit gemäß der Klassifikationsregeln der CLP-Verordnung (2. ATP der CLP-VO, Tabelle 4.1.3) bestimmt.</w:t>
            </w:r>
          </w:p>
          <w:p w14:paraId="67E07F6C" w14:textId="35C3F02A" w:rsidR="00C77931" w:rsidRDefault="00C77931" w:rsidP="00085A3D">
            <w:pPr>
              <w:pStyle w:val="Tabellentext"/>
            </w:pPr>
            <w:r>
              <w:t>Liegen keine Informationen zur Gewässergefährdung in Form von Daten zur Toxizität, biologischer Abbaubarkeit oder Bioakkumulation eines Stoffes vor, wird dieser als worst case, d. h. gewässergefährdend H410 mit dem Multiplikator 1000 angenommen. Ausgenommen von dieser Regelung sind Topfkonservierer gemäß der „Liste der zulässigen Topfkonservierer“</w:t>
            </w:r>
            <w:r w:rsidR="005F2F2E">
              <w:t xml:space="preserve"> (Anhang B)</w:t>
            </w:r>
            <w:r>
              <w:t>.</w:t>
            </w:r>
          </w:p>
        </w:tc>
        <w:tc>
          <w:tcPr>
            <w:tcW w:w="2268" w:type="dxa"/>
            <w:shd w:val="clear" w:color="auto" w:fill="auto"/>
          </w:tcPr>
          <w:p w14:paraId="2A85385D" w14:textId="77777777" w:rsidR="00C77931" w:rsidRPr="00994FEC" w:rsidRDefault="00C77931" w:rsidP="00085A3D">
            <w:pPr>
              <w:pStyle w:val="Tabellentext"/>
            </w:pPr>
          </w:p>
        </w:tc>
        <w:tc>
          <w:tcPr>
            <w:tcW w:w="1701" w:type="dxa"/>
            <w:shd w:val="clear" w:color="auto" w:fill="auto"/>
            <w:vAlign w:val="center"/>
          </w:tcPr>
          <w:p w14:paraId="53D0115D" w14:textId="77777777" w:rsidR="00C77931" w:rsidRPr="005B05B8" w:rsidRDefault="00C77931" w:rsidP="0079733C">
            <w:pPr>
              <w:jc w:val="center"/>
              <w:rPr>
                <w:rFonts w:ascii="Meta Offc" w:hAnsi="Meta Offc" w:cs="Meta Offc"/>
                <w:sz w:val="18"/>
                <w:szCs w:val="18"/>
              </w:rPr>
            </w:pPr>
          </w:p>
        </w:tc>
      </w:tr>
    </w:tbl>
    <w:p w14:paraId="312E1F70" w14:textId="77777777" w:rsidR="000874D3" w:rsidRDefault="000874D3"/>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103F32" w:rsidRPr="004C4B67" w14:paraId="44DF103E" w14:textId="77777777" w:rsidTr="001C2931">
        <w:trPr>
          <w:trHeight w:val="185"/>
          <w:tblHeader/>
        </w:trPr>
        <w:tc>
          <w:tcPr>
            <w:tcW w:w="5573" w:type="dxa"/>
            <w:shd w:val="clear" w:color="auto" w:fill="D9D9D9"/>
            <w:vAlign w:val="center"/>
          </w:tcPr>
          <w:p w14:paraId="536D22A9" w14:textId="04396451" w:rsidR="00103F32" w:rsidRPr="00994FEC" w:rsidRDefault="000874D3" w:rsidP="00085A3D">
            <w:pPr>
              <w:pStyle w:val="Tabellentext"/>
            </w:pPr>
            <w:r w:rsidRPr="000874D3">
              <w:lastRenderedPageBreak/>
              <w:t>2</w:t>
            </w:r>
            <w:r w:rsidRPr="000874D3">
              <w:tab/>
              <w:t>Innenraumluftqualität</w:t>
            </w:r>
          </w:p>
        </w:tc>
        <w:tc>
          <w:tcPr>
            <w:tcW w:w="2323" w:type="dxa"/>
            <w:shd w:val="clear" w:color="auto" w:fill="D9D9D9"/>
            <w:vAlign w:val="center"/>
          </w:tcPr>
          <w:p w14:paraId="1CD796D2" w14:textId="77777777" w:rsidR="00103F32" w:rsidRPr="00994FEC" w:rsidRDefault="00103F32" w:rsidP="00085A3D">
            <w:pPr>
              <w:pStyle w:val="Tabellentext"/>
            </w:pPr>
          </w:p>
        </w:tc>
        <w:tc>
          <w:tcPr>
            <w:tcW w:w="1743" w:type="dxa"/>
            <w:shd w:val="clear" w:color="auto" w:fill="D9D9D9"/>
            <w:vAlign w:val="center"/>
          </w:tcPr>
          <w:p w14:paraId="15C1BF92" w14:textId="77777777" w:rsidR="00103F32" w:rsidRPr="00994FEC" w:rsidRDefault="00103F32" w:rsidP="00085A3D">
            <w:pPr>
              <w:pStyle w:val="Tabellentext"/>
            </w:pPr>
          </w:p>
        </w:tc>
      </w:tr>
      <w:tr w:rsidR="00103F32" w:rsidRPr="004C4B67" w14:paraId="711C0912" w14:textId="77777777" w:rsidTr="001C2931">
        <w:trPr>
          <w:trHeight w:val="284"/>
          <w:tblHeader/>
        </w:trPr>
        <w:tc>
          <w:tcPr>
            <w:tcW w:w="5573" w:type="dxa"/>
            <w:shd w:val="clear" w:color="auto" w:fill="auto"/>
          </w:tcPr>
          <w:p w14:paraId="30269BFB" w14:textId="77777777" w:rsidR="00103F32" w:rsidRDefault="000874D3" w:rsidP="00085A3D">
            <w:pPr>
              <w:pStyle w:val="Tabellentext"/>
            </w:pPr>
            <w:r w:rsidRPr="000874D3">
              <w:t>Die Verlegewerkstoffe dürfen in Anlehnung an die vom Ausschuss zur gesundheitlichen Bewertung von Bauprodukten erarbeitete "Vorgehensweise bei der gesundheitlichen Bewertung der Emissionen von flüchtigen organischen Verbindungen (VOC) aus Bauprodukten" die nachfolgend genannten Emissionswerte in der Prüfkammer nicht überschreiten.</w:t>
            </w:r>
          </w:p>
          <w:p w14:paraId="69BDF489" w14:textId="3EB759D0" w:rsidR="000874D3" w:rsidRDefault="000874D3" w:rsidP="00085A3D">
            <w:pPr>
              <w:pStyle w:val="Beschriftung"/>
            </w:pPr>
            <w:r w:rsidRPr="000874D3">
              <w:t>Tabelle 1:</w:t>
            </w:r>
            <w:r w:rsidRPr="000874D3">
              <w:tab/>
              <w:t>Emissionswerte in der Prüfkammer</w:t>
            </w:r>
          </w:p>
          <w:tbl>
            <w:tblPr>
              <w:tblStyle w:val="UBATabellenformatvorlage"/>
              <w:tblW w:w="4940" w:type="pct"/>
              <w:tblLayout w:type="fixed"/>
              <w:tblLook w:val="0020" w:firstRow="1" w:lastRow="0" w:firstColumn="0" w:lastColumn="0" w:noHBand="0" w:noVBand="0"/>
            </w:tblPr>
            <w:tblGrid>
              <w:gridCol w:w="2531"/>
              <w:gridCol w:w="1462"/>
              <w:gridCol w:w="1300"/>
            </w:tblGrid>
            <w:tr w:rsidR="00DE6E99" w:rsidRPr="00234D65" w14:paraId="4D623339" w14:textId="77777777" w:rsidTr="0079733C">
              <w:trPr>
                <w:cnfStyle w:val="100000000000" w:firstRow="1" w:lastRow="0" w:firstColumn="0" w:lastColumn="0" w:oddVBand="0" w:evenVBand="0" w:oddHBand="0" w:evenHBand="0" w:firstRowFirstColumn="0" w:firstRowLastColumn="0" w:lastRowFirstColumn="0" w:lastRowLastColumn="0"/>
                <w:trHeight w:val="170"/>
              </w:trPr>
              <w:tc>
                <w:tcPr>
                  <w:tcW w:w="2391" w:type="pct"/>
                  <w:shd w:val="clear" w:color="auto" w:fill="92D050"/>
                </w:tcPr>
                <w:p w14:paraId="6A268D25" w14:textId="77777777" w:rsidR="000874D3" w:rsidRPr="001C2931" w:rsidRDefault="000874D3" w:rsidP="00085A3D">
                  <w:pPr>
                    <w:pStyle w:val="Tabellentextfett"/>
                  </w:pPr>
                  <w:r w:rsidRPr="001C2931">
                    <w:t>Substanz</w:t>
                  </w:r>
                </w:p>
              </w:tc>
              <w:tc>
                <w:tcPr>
                  <w:tcW w:w="1381" w:type="pct"/>
                  <w:shd w:val="clear" w:color="auto" w:fill="92D050"/>
                </w:tcPr>
                <w:p w14:paraId="6401A95E" w14:textId="77777777" w:rsidR="000874D3" w:rsidRPr="001C2931" w:rsidRDefault="000874D3" w:rsidP="00085A3D">
                  <w:pPr>
                    <w:pStyle w:val="Tabellentextfett"/>
                  </w:pPr>
                  <w:r w:rsidRPr="001C2931">
                    <w:t>3. Tag</w:t>
                  </w:r>
                </w:p>
              </w:tc>
              <w:tc>
                <w:tcPr>
                  <w:tcW w:w="1228" w:type="pct"/>
                  <w:shd w:val="clear" w:color="auto" w:fill="92D050"/>
                </w:tcPr>
                <w:p w14:paraId="2ECB6EB0" w14:textId="77777777" w:rsidR="000874D3" w:rsidRPr="001C2931" w:rsidRDefault="000874D3" w:rsidP="00085A3D">
                  <w:pPr>
                    <w:pStyle w:val="Tabellentextfett"/>
                  </w:pPr>
                  <w:r w:rsidRPr="001C2931">
                    <w:t>Endwert (28. Tag)</w:t>
                  </w:r>
                </w:p>
              </w:tc>
            </w:tr>
            <w:tr w:rsidR="000874D3" w:rsidRPr="006649A8" w14:paraId="03FD144A" w14:textId="77777777" w:rsidTr="0079733C">
              <w:trPr>
                <w:trHeight w:val="110"/>
              </w:trPr>
              <w:tc>
                <w:tcPr>
                  <w:tcW w:w="2391" w:type="pct"/>
                </w:tcPr>
                <w:p w14:paraId="4B53F104" w14:textId="77777777" w:rsidR="000874D3" w:rsidRPr="006649A8" w:rsidRDefault="000874D3" w:rsidP="00085A3D">
                  <w:pPr>
                    <w:pStyle w:val="Tabellentext"/>
                  </w:pPr>
                  <w:r w:rsidRPr="00DC1E6D">
                    <w:t>Summe der organischen Verbindungen im Retentionsbereich ohne Essigsäure C</w:t>
                  </w:r>
                  <w:r w:rsidRPr="00416198">
                    <w:rPr>
                      <w:vertAlign w:val="subscript"/>
                    </w:rPr>
                    <w:t>6</w:t>
                  </w:r>
                  <w:r w:rsidRPr="00DC1E6D">
                    <w:t xml:space="preserve"> – C</w:t>
                  </w:r>
                  <w:r w:rsidRPr="00416198">
                    <w:rPr>
                      <w:vertAlign w:val="subscript"/>
                    </w:rPr>
                    <w:t>16</w:t>
                  </w:r>
                  <w:r w:rsidRPr="00DC1E6D">
                    <w:t xml:space="preserve"> (TVOC</w:t>
                  </w:r>
                  <w:r w:rsidRPr="00416198">
                    <w:rPr>
                      <w:vertAlign w:val="subscript"/>
                    </w:rPr>
                    <w:t>spez</w:t>
                  </w:r>
                  <w:r w:rsidRPr="00DC1E6D">
                    <w:t>)</w:t>
                  </w:r>
                </w:p>
              </w:tc>
              <w:tc>
                <w:tcPr>
                  <w:tcW w:w="1381" w:type="pct"/>
                </w:tcPr>
                <w:p w14:paraId="6E520217" w14:textId="77777777" w:rsidR="000874D3" w:rsidRPr="006649A8" w:rsidRDefault="000874D3" w:rsidP="00085A3D">
                  <w:pPr>
                    <w:pStyle w:val="Tabellentext"/>
                  </w:pPr>
                  <w:r w:rsidRPr="00DC1E6D">
                    <w:t>≤ 1000 μg/m</w:t>
                  </w:r>
                  <w:r w:rsidRPr="00416198">
                    <w:rPr>
                      <w:vertAlign w:val="superscript"/>
                    </w:rPr>
                    <w:t>3</w:t>
                  </w:r>
                </w:p>
              </w:tc>
              <w:tc>
                <w:tcPr>
                  <w:tcW w:w="1228" w:type="pct"/>
                </w:tcPr>
                <w:p w14:paraId="5B270BD0" w14:textId="77777777" w:rsidR="000874D3" w:rsidRPr="00CB6FC4" w:rsidRDefault="000874D3" w:rsidP="00085A3D">
                  <w:pPr>
                    <w:pStyle w:val="Tabellentext"/>
                  </w:pPr>
                  <w:r w:rsidRPr="00DC1E6D">
                    <w:t>≤ 60 μg/m</w:t>
                  </w:r>
                  <w:r w:rsidRPr="00416198">
                    <w:rPr>
                      <w:vertAlign w:val="superscript"/>
                    </w:rPr>
                    <w:t>3</w:t>
                  </w:r>
                </w:p>
              </w:tc>
            </w:tr>
            <w:tr w:rsidR="000874D3" w:rsidRPr="006649A8" w14:paraId="143CB205" w14:textId="77777777" w:rsidTr="0079733C">
              <w:trPr>
                <w:cnfStyle w:val="000000010000" w:firstRow="0" w:lastRow="0" w:firstColumn="0" w:lastColumn="0" w:oddVBand="0" w:evenVBand="0" w:oddHBand="0" w:evenHBand="1" w:firstRowFirstColumn="0" w:firstRowLastColumn="0" w:lastRowFirstColumn="0" w:lastRowLastColumn="0"/>
                <w:trHeight w:val="110"/>
              </w:trPr>
              <w:tc>
                <w:tcPr>
                  <w:tcW w:w="2391" w:type="pct"/>
                </w:tcPr>
                <w:p w14:paraId="1F0019AD" w14:textId="77777777" w:rsidR="000874D3" w:rsidRPr="006649A8" w:rsidRDefault="000874D3" w:rsidP="00085A3D">
                  <w:pPr>
                    <w:pStyle w:val="Tabellentext"/>
                  </w:pPr>
                  <w:r w:rsidRPr="00DC1E6D">
                    <w:t>Essigsäure</w:t>
                  </w:r>
                </w:p>
              </w:tc>
              <w:tc>
                <w:tcPr>
                  <w:tcW w:w="1381" w:type="pct"/>
                </w:tcPr>
                <w:p w14:paraId="61E5BD90" w14:textId="77777777" w:rsidR="000874D3" w:rsidRPr="006649A8" w:rsidRDefault="000874D3" w:rsidP="00085A3D">
                  <w:pPr>
                    <w:pStyle w:val="Tabellentext"/>
                  </w:pPr>
                  <w:r w:rsidRPr="00DC1E6D">
                    <w:t>≤ 2000 μg/m</w:t>
                  </w:r>
                  <w:r w:rsidRPr="00416198">
                    <w:rPr>
                      <w:vertAlign w:val="superscript"/>
                    </w:rPr>
                    <w:t>3</w:t>
                  </w:r>
                </w:p>
              </w:tc>
              <w:tc>
                <w:tcPr>
                  <w:tcW w:w="1228" w:type="pct"/>
                </w:tcPr>
                <w:p w14:paraId="45A63499" w14:textId="77777777" w:rsidR="000874D3" w:rsidRPr="00CB6FC4" w:rsidRDefault="000874D3" w:rsidP="00085A3D">
                  <w:pPr>
                    <w:pStyle w:val="Tabellentext"/>
                  </w:pPr>
                  <w:r w:rsidRPr="00DC1E6D">
                    <w:t>≤ 140 μg/m</w:t>
                  </w:r>
                  <w:r w:rsidRPr="00416198">
                    <w:rPr>
                      <w:vertAlign w:val="superscript"/>
                    </w:rPr>
                    <w:t>3</w:t>
                  </w:r>
                </w:p>
              </w:tc>
            </w:tr>
            <w:tr w:rsidR="000874D3" w:rsidRPr="006649A8" w14:paraId="68424184" w14:textId="77777777" w:rsidTr="0079733C">
              <w:trPr>
                <w:trHeight w:val="264"/>
              </w:trPr>
              <w:tc>
                <w:tcPr>
                  <w:tcW w:w="2391" w:type="pct"/>
                </w:tcPr>
                <w:p w14:paraId="77861486" w14:textId="77777777" w:rsidR="000874D3" w:rsidRDefault="000874D3" w:rsidP="00085A3D">
                  <w:pPr>
                    <w:pStyle w:val="Tabellentext"/>
                  </w:pPr>
                  <w:r w:rsidRPr="00DC1E6D">
                    <w:t>Summe der organischen Verbindungen im Retentionsbereich</w:t>
                  </w:r>
                </w:p>
                <w:p w14:paraId="6DCE470C" w14:textId="77777777" w:rsidR="000874D3" w:rsidRPr="006649A8" w:rsidRDefault="000874D3" w:rsidP="00085A3D">
                  <w:pPr>
                    <w:pStyle w:val="Tabellentext"/>
                  </w:pPr>
                  <w:r w:rsidRPr="00DC1E6D">
                    <w:t>&gt; C</w:t>
                  </w:r>
                  <w:r w:rsidRPr="00416198">
                    <w:rPr>
                      <w:vertAlign w:val="subscript"/>
                    </w:rPr>
                    <w:t>16</w:t>
                  </w:r>
                  <w:r w:rsidRPr="00DC1E6D">
                    <w:t xml:space="preserve"> – C</w:t>
                  </w:r>
                  <w:r w:rsidRPr="00416198">
                    <w:rPr>
                      <w:vertAlign w:val="subscript"/>
                    </w:rPr>
                    <w:t>22</w:t>
                  </w:r>
                  <w:r w:rsidRPr="00DC1E6D">
                    <w:t xml:space="preserve"> (TSVOC)</w:t>
                  </w:r>
                </w:p>
              </w:tc>
              <w:tc>
                <w:tcPr>
                  <w:tcW w:w="1381" w:type="pct"/>
                </w:tcPr>
                <w:p w14:paraId="1D8886A1" w14:textId="77777777" w:rsidR="000874D3" w:rsidRPr="006649A8" w:rsidRDefault="000874D3" w:rsidP="00085A3D">
                  <w:pPr>
                    <w:pStyle w:val="Tabellentext"/>
                  </w:pPr>
                  <w:r>
                    <w:t>–</w:t>
                  </w:r>
                </w:p>
              </w:tc>
              <w:tc>
                <w:tcPr>
                  <w:tcW w:w="1228" w:type="pct"/>
                </w:tcPr>
                <w:p w14:paraId="19A19E4A" w14:textId="77777777" w:rsidR="000874D3" w:rsidRPr="00CB6FC4" w:rsidRDefault="000874D3" w:rsidP="00085A3D">
                  <w:pPr>
                    <w:pStyle w:val="Tabellentext"/>
                  </w:pPr>
                  <w:r w:rsidRPr="00DC1E6D">
                    <w:t>≤ 50 μg/m</w:t>
                  </w:r>
                  <w:r w:rsidRPr="00416198">
                    <w:rPr>
                      <w:vertAlign w:val="superscript"/>
                    </w:rPr>
                    <w:t>3</w:t>
                  </w:r>
                </w:p>
              </w:tc>
            </w:tr>
            <w:tr w:rsidR="000874D3" w:rsidRPr="006649A8" w14:paraId="2733754F" w14:textId="77777777" w:rsidTr="0079733C">
              <w:trPr>
                <w:cnfStyle w:val="000000010000" w:firstRow="0" w:lastRow="0" w:firstColumn="0" w:lastColumn="0" w:oddVBand="0" w:evenVBand="0" w:oddHBand="0" w:evenHBand="1" w:firstRowFirstColumn="0" w:firstRowLastColumn="0" w:lastRowFirstColumn="0" w:lastRowLastColumn="0"/>
                <w:trHeight w:val="251"/>
              </w:trPr>
              <w:tc>
                <w:tcPr>
                  <w:tcW w:w="2391" w:type="pct"/>
                </w:tcPr>
                <w:p w14:paraId="50D84D7A" w14:textId="77777777" w:rsidR="000874D3" w:rsidRPr="006649A8" w:rsidRDefault="000874D3" w:rsidP="00085A3D">
                  <w:pPr>
                    <w:pStyle w:val="Tabellentext"/>
                  </w:pPr>
                  <w:r w:rsidRPr="00DC1E6D">
                    <w:t>C-Stoffe</w:t>
                  </w:r>
                </w:p>
              </w:tc>
              <w:tc>
                <w:tcPr>
                  <w:tcW w:w="1381" w:type="pct"/>
                </w:tcPr>
                <w:p w14:paraId="15212A13" w14:textId="77777777" w:rsidR="000874D3" w:rsidRPr="006649A8" w:rsidRDefault="000874D3" w:rsidP="00085A3D">
                  <w:pPr>
                    <w:pStyle w:val="Tabellentext"/>
                  </w:pPr>
                  <w:r w:rsidRPr="00DC1E6D">
                    <w:t>≤ 10 μg/m</w:t>
                  </w:r>
                  <w:r w:rsidRPr="00416198">
                    <w:rPr>
                      <w:vertAlign w:val="superscript"/>
                    </w:rPr>
                    <w:t>3</w:t>
                  </w:r>
                  <w:r w:rsidRPr="00DC1E6D">
                    <w:t xml:space="preserve"> </w:t>
                  </w:r>
                  <w:r>
                    <w:br/>
                  </w:r>
                  <w:r w:rsidRPr="00416198">
                    <w:rPr>
                      <w:b/>
                      <w:bCs/>
                    </w:rPr>
                    <w:t>Summe</w:t>
                  </w:r>
                </w:p>
              </w:tc>
              <w:tc>
                <w:tcPr>
                  <w:tcW w:w="1228" w:type="pct"/>
                </w:tcPr>
                <w:p w14:paraId="3457CBD5" w14:textId="77777777" w:rsidR="000874D3" w:rsidRPr="00CB6FC4" w:rsidRDefault="000874D3" w:rsidP="00085A3D">
                  <w:pPr>
                    <w:pStyle w:val="Tabellentext"/>
                  </w:pPr>
                  <w:r w:rsidRPr="00DC1E6D">
                    <w:t>≤ 1 μg/m</w:t>
                  </w:r>
                  <w:r w:rsidRPr="00416198">
                    <w:rPr>
                      <w:vertAlign w:val="superscript"/>
                    </w:rPr>
                    <w:t>3</w:t>
                  </w:r>
                  <w:r>
                    <w:rPr>
                      <w:vertAlign w:val="superscript"/>
                    </w:rPr>
                    <w:br/>
                  </w:r>
                  <w:r w:rsidRPr="004629FE">
                    <w:rPr>
                      <w:b/>
                    </w:rPr>
                    <w:t>je Einzelwert</w:t>
                  </w:r>
                </w:p>
              </w:tc>
            </w:tr>
            <w:tr w:rsidR="000874D3" w:rsidRPr="006649A8" w14:paraId="17941DBB" w14:textId="77777777" w:rsidTr="0079733C">
              <w:tblPrEx>
                <w:tblLook w:val="04A0" w:firstRow="1" w:lastRow="0" w:firstColumn="1" w:lastColumn="0" w:noHBand="0" w:noVBand="1"/>
              </w:tblPrEx>
              <w:trPr>
                <w:trHeight w:val="110"/>
              </w:trPr>
              <w:tc>
                <w:tcPr>
                  <w:tcW w:w="2391" w:type="pct"/>
                </w:tcPr>
                <w:p w14:paraId="7C2823C0" w14:textId="77777777" w:rsidR="000874D3" w:rsidRPr="006649A8" w:rsidRDefault="000874D3" w:rsidP="00085A3D">
                  <w:pPr>
                    <w:pStyle w:val="Tabellentext"/>
                  </w:pPr>
                  <w:r w:rsidRPr="00DC1E6D">
                    <w:t>Summe VOC ohne NIK</w:t>
                  </w:r>
                </w:p>
              </w:tc>
              <w:tc>
                <w:tcPr>
                  <w:tcW w:w="1381" w:type="pct"/>
                </w:tcPr>
                <w:p w14:paraId="2AF0649A" w14:textId="77777777" w:rsidR="000874D3" w:rsidRPr="006649A8" w:rsidRDefault="000874D3" w:rsidP="00085A3D">
                  <w:pPr>
                    <w:pStyle w:val="Tabellentext"/>
                  </w:pPr>
                </w:p>
              </w:tc>
              <w:tc>
                <w:tcPr>
                  <w:tcW w:w="1228" w:type="pct"/>
                </w:tcPr>
                <w:p w14:paraId="6350387E" w14:textId="77777777" w:rsidR="000874D3" w:rsidRPr="00CB6FC4" w:rsidRDefault="000874D3" w:rsidP="00085A3D">
                  <w:pPr>
                    <w:pStyle w:val="Tabellentext"/>
                  </w:pPr>
                  <w:r w:rsidRPr="00DC1E6D">
                    <w:t>≤ 40 μg/m</w:t>
                  </w:r>
                  <w:r w:rsidRPr="00416198">
                    <w:rPr>
                      <w:vertAlign w:val="superscript"/>
                    </w:rPr>
                    <w:t>3</w:t>
                  </w:r>
                </w:p>
              </w:tc>
            </w:tr>
            <w:tr w:rsidR="000874D3" w:rsidRPr="006649A8" w14:paraId="6D0E0FB0" w14:textId="77777777" w:rsidTr="0079733C">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10"/>
              </w:trPr>
              <w:tc>
                <w:tcPr>
                  <w:tcW w:w="2391" w:type="pct"/>
                </w:tcPr>
                <w:p w14:paraId="28454E40" w14:textId="77777777" w:rsidR="000874D3" w:rsidRPr="006649A8" w:rsidRDefault="000874D3" w:rsidP="00085A3D">
                  <w:pPr>
                    <w:pStyle w:val="Tabellentext"/>
                  </w:pPr>
                  <w:r w:rsidRPr="00087A4E">
                    <w:t>R-Wert</w:t>
                  </w:r>
                </w:p>
              </w:tc>
              <w:tc>
                <w:tcPr>
                  <w:tcW w:w="1381" w:type="pct"/>
                </w:tcPr>
                <w:p w14:paraId="05D7B363" w14:textId="77777777" w:rsidR="000874D3" w:rsidRPr="006649A8" w:rsidRDefault="000874D3" w:rsidP="00085A3D">
                  <w:pPr>
                    <w:pStyle w:val="Tabellentext"/>
                  </w:pPr>
                  <w:r>
                    <w:t>–</w:t>
                  </w:r>
                </w:p>
              </w:tc>
              <w:tc>
                <w:tcPr>
                  <w:tcW w:w="1228" w:type="pct"/>
                </w:tcPr>
                <w:p w14:paraId="3F09910A" w14:textId="77777777" w:rsidR="000874D3" w:rsidRPr="00CB6FC4" w:rsidRDefault="000874D3" w:rsidP="00085A3D">
                  <w:pPr>
                    <w:pStyle w:val="Tabellentext"/>
                  </w:pPr>
                  <w:r w:rsidRPr="00087A4E">
                    <w:t>≤ 1</w:t>
                  </w:r>
                </w:p>
              </w:tc>
            </w:tr>
            <w:tr w:rsidR="000874D3" w:rsidRPr="006649A8" w14:paraId="4E902AC2" w14:textId="77777777" w:rsidTr="0079733C">
              <w:tblPrEx>
                <w:tblLook w:val="04A0" w:firstRow="1" w:lastRow="0" w:firstColumn="1" w:lastColumn="0" w:noHBand="0" w:noVBand="1"/>
              </w:tblPrEx>
              <w:trPr>
                <w:trHeight w:val="264"/>
              </w:trPr>
              <w:tc>
                <w:tcPr>
                  <w:tcW w:w="2391" w:type="pct"/>
                </w:tcPr>
                <w:p w14:paraId="4F7CB1B9" w14:textId="77777777" w:rsidR="000874D3" w:rsidRPr="006649A8" w:rsidRDefault="000874D3" w:rsidP="00085A3D">
                  <w:pPr>
                    <w:pStyle w:val="Tabellentext"/>
                  </w:pPr>
                  <w:r w:rsidRPr="00087A4E">
                    <w:t>Formaldehyd</w:t>
                  </w:r>
                </w:p>
              </w:tc>
              <w:tc>
                <w:tcPr>
                  <w:tcW w:w="1381" w:type="pct"/>
                </w:tcPr>
                <w:p w14:paraId="7DBAD780" w14:textId="77777777" w:rsidR="000874D3" w:rsidRPr="006649A8" w:rsidRDefault="000874D3" w:rsidP="00085A3D">
                  <w:pPr>
                    <w:pStyle w:val="Tabellentext"/>
                  </w:pPr>
                  <w:r>
                    <w:t>–</w:t>
                  </w:r>
                </w:p>
              </w:tc>
              <w:tc>
                <w:tcPr>
                  <w:tcW w:w="1228" w:type="pct"/>
                </w:tcPr>
                <w:p w14:paraId="03EA4CC7" w14:textId="77777777" w:rsidR="000874D3" w:rsidRPr="00CB6FC4" w:rsidRDefault="000874D3" w:rsidP="00085A3D">
                  <w:pPr>
                    <w:pStyle w:val="Tabellentext"/>
                  </w:pPr>
                  <w:r w:rsidRPr="00087A4E">
                    <w:t>≤ 0,05 ppm</w:t>
                  </w:r>
                </w:p>
              </w:tc>
            </w:tr>
            <w:tr w:rsidR="000874D3" w:rsidRPr="006649A8" w14:paraId="701B17CF" w14:textId="77777777" w:rsidTr="0079733C">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1"/>
              </w:trPr>
              <w:tc>
                <w:tcPr>
                  <w:tcW w:w="2391" w:type="pct"/>
                </w:tcPr>
                <w:p w14:paraId="0BC544B9" w14:textId="77777777" w:rsidR="000874D3" w:rsidRPr="006649A8" w:rsidRDefault="000874D3" w:rsidP="00085A3D">
                  <w:pPr>
                    <w:pStyle w:val="Tabellentext"/>
                  </w:pPr>
                  <w:r w:rsidRPr="00087A4E">
                    <w:t>Andere Aldehyde</w:t>
                  </w:r>
                </w:p>
              </w:tc>
              <w:tc>
                <w:tcPr>
                  <w:tcW w:w="1381" w:type="pct"/>
                </w:tcPr>
                <w:p w14:paraId="29EA246E" w14:textId="77777777" w:rsidR="000874D3" w:rsidRPr="006649A8" w:rsidRDefault="000874D3" w:rsidP="00085A3D">
                  <w:pPr>
                    <w:pStyle w:val="Tabellentext"/>
                  </w:pPr>
                  <w:r>
                    <w:t>–</w:t>
                  </w:r>
                </w:p>
              </w:tc>
              <w:tc>
                <w:tcPr>
                  <w:tcW w:w="1228" w:type="pct"/>
                </w:tcPr>
                <w:p w14:paraId="168464C8" w14:textId="77777777" w:rsidR="000874D3" w:rsidRPr="00CB6FC4" w:rsidRDefault="000874D3" w:rsidP="00085A3D">
                  <w:pPr>
                    <w:pStyle w:val="Tabellentext"/>
                  </w:pPr>
                  <w:r w:rsidRPr="00087A4E">
                    <w:t>≤ 0,05 ppm</w:t>
                  </w:r>
                </w:p>
              </w:tc>
            </w:tr>
          </w:tbl>
          <w:p w14:paraId="2C69772C" w14:textId="0E61C642" w:rsidR="000874D3" w:rsidRPr="007C3041" w:rsidRDefault="000874D3" w:rsidP="00085A3D">
            <w:pPr>
              <w:pStyle w:val="Tabellen-undAbbildungsunterschrift"/>
            </w:pPr>
            <w:r w:rsidRPr="007C3041">
              <w:t xml:space="preserve">Quelle: Blauer Engel </w:t>
            </w:r>
            <w:r w:rsidR="007C3041" w:rsidRPr="007C3041">
              <w:t>für e</w:t>
            </w:r>
            <w:r w:rsidRPr="007C3041">
              <w:t>missionsarme Bodenbelagsklebstoffe und andere Verlegewerkstoffe (DE-UZ 113, Ausgabe Januar 2019)</w:t>
            </w:r>
          </w:p>
          <w:p w14:paraId="3C7EE9F3" w14:textId="1A26C0E0" w:rsidR="000874D3" w:rsidRPr="00994FEC" w:rsidRDefault="000874D3" w:rsidP="00085A3D">
            <w:pPr>
              <w:pStyle w:val="Tabellentext"/>
            </w:pPr>
            <w:r>
              <w:t>Die Probennahme sowie Lagerung und Transport, die Herstellung und Vorbereitung des Prüfstücks sowie die Emissionsmessung sind gemäß BAM-Prüfverfahren (</w:t>
            </w:r>
            <w:r w:rsidRPr="00801BF3">
              <w:t xml:space="preserve">Anhang </w:t>
            </w:r>
            <w:r>
              <w:t xml:space="preserve">C) auszuführen. Im Übrigen sind die allgemeinen Anforderungen gemäß DIN EN 16516 zu beachten. In Anlehnung an die AgBB-Anforderungen muss die Bestimmung der gesamten flüchtigen Verbindungen (TVOC) hierbei gemäß Abschnitt 8.2.6.1 Abs. 2 der </w:t>
            </w:r>
            <w:bookmarkStart w:id="4" w:name="_Hlk80010454"/>
            <w:r>
              <w:t>DIN EN 16516 (Zielverbindungen und Nicht-Zielverbindungen, identifizierte und nicht identifizierte Verbindungen)</w:t>
            </w:r>
            <w:bookmarkEnd w:id="4"/>
            <w:r>
              <w:t xml:space="preserve"> mit TVOC</w:t>
            </w:r>
            <w:r w:rsidRPr="000214A8">
              <w:rPr>
                <w:vertAlign w:val="subscript"/>
              </w:rPr>
              <w:t>spez</w:t>
            </w:r>
            <w:r>
              <w:t xml:space="preserve"> (ohne Essigsäure) erfolgen. Die Anforderungen verfolgen das Ziel, in einem durchschnittlich großen Wohnraum bei einem Luftwechsel von 0,5/h den Beitrag von Bodenbelagsklebstoffen zum Gehalt an flüchtigen organischen Verbindungen in der Innenraumluft nach 28 Tagen auf 0,06 mg/m</w:t>
            </w:r>
            <w:r w:rsidRPr="000214A8">
              <w:rPr>
                <w:vertAlign w:val="superscript"/>
              </w:rPr>
              <w:t>3</w:t>
            </w:r>
            <w:r>
              <w:t xml:space="preserve"> zu begrenzen. Der Anwendungsbereich muss auf dem Gebinde eindeutig ausgelobt sein (Boden und Wände; nur Wände oder nur Boden). </w:t>
            </w:r>
          </w:p>
        </w:tc>
        <w:tc>
          <w:tcPr>
            <w:tcW w:w="2323" w:type="dxa"/>
            <w:shd w:val="clear" w:color="auto" w:fill="auto"/>
          </w:tcPr>
          <w:p w14:paraId="6BE1D76E" w14:textId="695AADEA" w:rsidR="00103F32" w:rsidRPr="00994FEC" w:rsidRDefault="00103F32" w:rsidP="00085A3D">
            <w:pPr>
              <w:pStyle w:val="Tabellentext"/>
            </w:pPr>
            <w:r w:rsidRPr="00994FEC">
              <w:t xml:space="preserve">Ausschlusskriterium </w:t>
            </w:r>
          </w:p>
          <w:p w14:paraId="52129417" w14:textId="38E1418B" w:rsidR="00103F32" w:rsidRPr="00994FEC" w:rsidRDefault="00103F32" w:rsidP="00085A3D">
            <w:pPr>
              <w:pStyle w:val="Tabellentext"/>
            </w:pPr>
            <w:r w:rsidRPr="00994FEC">
              <w:t xml:space="preserve">Nachweis </w:t>
            </w:r>
            <w:r w:rsidRPr="00380147">
              <w:t xml:space="preserve">durch </w:t>
            </w:r>
            <w:r w:rsidR="00380147" w:rsidRPr="00380147">
              <w:t>Prüfbericht gemäß der Norm DIN EN 16516, der die Einhaltung dieser Anforderung bestätigt. Der Prüfbericht ist von einer von der Bundesanstalt für Materialforschung und -prüfung (BAM) für diese Prüfung anerkannten Prüfstelle zu erstellen. Das Format des Prüfberichts basiert auf DIN EN 16516 [Abschnitt 10]</w:t>
            </w:r>
            <w:r w:rsidR="00380147">
              <w:t>.</w:t>
            </w:r>
          </w:p>
        </w:tc>
        <w:tc>
          <w:tcPr>
            <w:tcW w:w="1743" w:type="dxa"/>
            <w:shd w:val="clear" w:color="auto" w:fill="auto"/>
            <w:vAlign w:val="center"/>
          </w:tcPr>
          <w:p w14:paraId="2DC81D62"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0874D3" w:rsidRPr="004C4B67" w14:paraId="2B8157F0" w14:textId="77777777" w:rsidTr="001C2931">
        <w:trPr>
          <w:trHeight w:val="284"/>
          <w:tblHeader/>
        </w:trPr>
        <w:tc>
          <w:tcPr>
            <w:tcW w:w="5573" w:type="dxa"/>
            <w:shd w:val="clear" w:color="auto" w:fill="auto"/>
          </w:tcPr>
          <w:p w14:paraId="1C176E21" w14:textId="77777777" w:rsidR="000874D3" w:rsidRDefault="000874D3" w:rsidP="00085A3D">
            <w:pPr>
              <w:pStyle w:val="Tabellentext"/>
            </w:pPr>
            <w:r>
              <w:lastRenderedPageBreak/>
              <w:t>In Fällen, in den die Klebstoffe entweder nur für die Wand oder nur für den Boden ausgelobt sind, ist die Beladung je nach Anwendungszweck zu wählen: 0,4 m</w:t>
            </w:r>
            <w:r w:rsidRPr="000214A8">
              <w:rPr>
                <w:vertAlign w:val="superscript"/>
              </w:rPr>
              <w:t>2</w:t>
            </w:r>
            <w:r>
              <w:t>/m</w:t>
            </w:r>
            <w:r w:rsidRPr="000214A8">
              <w:rPr>
                <w:vertAlign w:val="superscript"/>
              </w:rPr>
              <w:t>3</w:t>
            </w:r>
            <w:r>
              <w:t xml:space="preserve"> für Produkte nur für Böden, 1 m</w:t>
            </w:r>
            <w:r w:rsidRPr="000214A8">
              <w:rPr>
                <w:vertAlign w:val="superscript"/>
              </w:rPr>
              <w:t>2</w:t>
            </w:r>
            <w:r>
              <w:t>/m</w:t>
            </w:r>
            <w:r w:rsidRPr="000214A8">
              <w:rPr>
                <w:vertAlign w:val="superscript"/>
              </w:rPr>
              <w:t xml:space="preserve">3 </w:t>
            </w:r>
            <w:r>
              <w:t>für Produkte nur für Wände. In Zweifelsfällen ist mit der höchsten Beladung Wand und Boden 1,4 m</w:t>
            </w:r>
            <w:r w:rsidRPr="000214A8">
              <w:rPr>
                <w:vertAlign w:val="superscript"/>
              </w:rPr>
              <w:t>2</w:t>
            </w:r>
            <w:r>
              <w:t>/m</w:t>
            </w:r>
            <w:r w:rsidRPr="000214A8">
              <w:rPr>
                <w:vertAlign w:val="superscript"/>
              </w:rPr>
              <w:t>3</w:t>
            </w:r>
            <w:r>
              <w:t xml:space="preserve"> zu prüfen. Eine Auslobung für die Anwendung ist dann nicht notwendig. Die Beladung der Prüfkammer beträgt 0,4 m</w:t>
            </w:r>
            <w:r w:rsidRPr="000214A8">
              <w:rPr>
                <w:vertAlign w:val="superscript"/>
              </w:rPr>
              <w:t>2</w:t>
            </w:r>
            <w:r>
              <w:t>/m</w:t>
            </w:r>
            <w:r w:rsidRPr="000214A8">
              <w:rPr>
                <w:vertAlign w:val="superscript"/>
              </w:rPr>
              <w:t>3</w:t>
            </w:r>
            <w:r>
              <w:t xml:space="preserve"> für Produkte für den Boden. Die Prüfung kann vorzeitig abgebrochen werden (frühestens am 7. Tag nach Beladung), wenn die zulässigen Emissionsendwerte des 28. Tages vorzeitig erreicht werden und im Vergleich zur Messung am 3. Tag für keine der nachzuweisenden Substanzen ein Konzentrationsanstieg feststellbar ist.</w:t>
            </w:r>
          </w:p>
          <w:p w14:paraId="014EBC3B" w14:textId="7A18CDB8" w:rsidR="000874D3" w:rsidRPr="000874D3" w:rsidRDefault="000874D3" w:rsidP="00085A3D">
            <w:pPr>
              <w:pStyle w:val="Tabellentext"/>
            </w:pPr>
            <w:r>
              <w:t xml:space="preserve">Die optionale Geruchsprüfung nach </w:t>
            </w:r>
            <w:r w:rsidR="00AF6F9F">
              <w:t>Ziffer</w:t>
            </w:r>
            <w:r>
              <w:t xml:space="preserve"> 3 ist im Zusammenhang mit der Prüfung der Innenraumluftqualität durchzuführen.</w:t>
            </w:r>
          </w:p>
        </w:tc>
        <w:tc>
          <w:tcPr>
            <w:tcW w:w="2323" w:type="dxa"/>
            <w:shd w:val="clear" w:color="auto" w:fill="auto"/>
          </w:tcPr>
          <w:p w14:paraId="4497DB41" w14:textId="77777777" w:rsidR="000874D3" w:rsidRPr="00994FEC" w:rsidRDefault="000874D3" w:rsidP="00085A3D">
            <w:pPr>
              <w:pStyle w:val="Tabellentext"/>
            </w:pPr>
          </w:p>
        </w:tc>
        <w:tc>
          <w:tcPr>
            <w:tcW w:w="1743" w:type="dxa"/>
            <w:shd w:val="clear" w:color="auto" w:fill="auto"/>
            <w:vAlign w:val="center"/>
          </w:tcPr>
          <w:p w14:paraId="10C332D2" w14:textId="77777777" w:rsidR="000874D3" w:rsidRPr="005B05B8" w:rsidRDefault="000874D3" w:rsidP="0079733C">
            <w:pPr>
              <w:jc w:val="center"/>
              <w:rPr>
                <w:rFonts w:ascii="Meta Offc" w:hAnsi="Meta Offc" w:cs="Meta Offc"/>
                <w:sz w:val="18"/>
                <w:szCs w:val="18"/>
              </w:rPr>
            </w:pPr>
          </w:p>
        </w:tc>
      </w:tr>
      <w:tr w:rsidR="00E92A54" w:rsidRPr="004C4B67" w14:paraId="4542BFF8" w14:textId="77777777" w:rsidTr="001C2931">
        <w:trPr>
          <w:trHeight w:val="284"/>
          <w:tblHeader/>
        </w:trPr>
        <w:tc>
          <w:tcPr>
            <w:tcW w:w="5573" w:type="dxa"/>
            <w:shd w:val="clear" w:color="auto" w:fill="D9D9D9"/>
            <w:vAlign w:val="center"/>
          </w:tcPr>
          <w:p w14:paraId="66915FB3" w14:textId="021DF67C" w:rsidR="00E92A54" w:rsidRDefault="00E92A54" w:rsidP="00085A3D">
            <w:pPr>
              <w:pStyle w:val="Tabellentext"/>
            </w:pPr>
            <w:r w:rsidRPr="00E92A54">
              <w:t>3</w:t>
            </w:r>
            <w:r w:rsidRPr="00E92A54">
              <w:tab/>
              <w:t>Geruchsprüfung</w:t>
            </w:r>
          </w:p>
        </w:tc>
        <w:tc>
          <w:tcPr>
            <w:tcW w:w="2323" w:type="dxa"/>
            <w:shd w:val="clear" w:color="auto" w:fill="D9D9D9"/>
          </w:tcPr>
          <w:p w14:paraId="72114332" w14:textId="77777777" w:rsidR="00E92A54" w:rsidRPr="00994FEC" w:rsidRDefault="00E92A54" w:rsidP="00085A3D">
            <w:pPr>
              <w:pStyle w:val="Tabellentext"/>
            </w:pPr>
          </w:p>
        </w:tc>
        <w:tc>
          <w:tcPr>
            <w:tcW w:w="1743" w:type="dxa"/>
            <w:shd w:val="clear" w:color="auto" w:fill="D9D9D9"/>
            <w:vAlign w:val="center"/>
          </w:tcPr>
          <w:p w14:paraId="1B4BC7F5" w14:textId="77777777" w:rsidR="00E92A54" w:rsidRPr="005B05B8" w:rsidRDefault="00E92A54" w:rsidP="00085A3D">
            <w:pPr>
              <w:pStyle w:val="Tabellentext"/>
            </w:pPr>
          </w:p>
        </w:tc>
      </w:tr>
      <w:tr w:rsidR="00E92A54" w:rsidRPr="004C4B67" w14:paraId="25EAE2DB" w14:textId="77777777" w:rsidTr="001C2931">
        <w:trPr>
          <w:trHeight w:val="284"/>
          <w:tblHeader/>
        </w:trPr>
        <w:tc>
          <w:tcPr>
            <w:tcW w:w="5573" w:type="dxa"/>
            <w:shd w:val="clear" w:color="auto" w:fill="auto"/>
          </w:tcPr>
          <w:p w14:paraId="63E399C9" w14:textId="488B9442" w:rsidR="00E92A54" w:rsidRDefault="00E92A54" w:rsidP="00085A3D">
            <w:pPr>
              <w:pStyle w:val="Tabellentext"/>
            </w:pPr>
            <w:r w:rsidRPr="00E92A54">
              <w:t>Die Bodenbelagsklebstoffe und anderen Verlegewerkstoffe dürfen eine Geruchintensität von nicht mehr als 7 pi nach 28 Tagen aufweisen.</w:t>
            </w:r>
            <w:r w:rsidR="001C2931">
              <w:t xml:space="preserve"> </w:t>
            </w:r>
            <w:r w:rsidR="001C2931" w:rsidRPr="001C2931">
              <w:t xml:space="preserve">Die Prüfung der Geruchseigenschaften ist im Zusammenhang mit der Emissionsprüfung unter </w:t>
            </w:r>
            <w:r w:rsidR="00AF6F9F">
              <w:t>Ziffer</w:t>
            </w:r>
            <w:r w:rsidR="00DB15D6">
              <w:t xml:space="preserve"> </w:t>
            </w:r>
            <w:r w:rsidR="001C2931" w:rsidRPr="001C2931">
              <w:t>2 Innenraumluftqualität durchzuführen.</w:t>
            </w:r>
          </w:p>
          <w:p w14:paraId="5B17D445" w14:textId="77777777" w:rsidR="007C3041" w:rsidRDefault="007C3041" w:rsidP="00085A3D">
            <w:pPr>
              <w:pStyle w:val="Tabellentext"/>
            </w:pPr>
          </w:p>
          <w:p w14:paraId="2CCB6F40" w14:textId="2A20A7E7" w:rsidR="005C7011" w:rsidRDefault="005C7011" w:rsidP="00085A3D">
            <w:pPr>
              <w:pStyle w:val="Tabellentext"/>
            </w:pPr>
            <w:r>
              <w:t xml:space="preserve">Geruchsintensität: </w:t>
            </w:r>
            <w:r w:rsidRPr="001A2BE2">
              <w:t>________</w:t>
            </w:r>
            <w:r>
              <w:t xml:space="preserve"> pi</w:t>
            </w:r>
          </w:p>
        </w:tc>
        <w:tc>
          <w:tcPr>
            <w:tcW w:w="2323" w:type="dxa"/>
            <w:shd w:val="clear" w:color="auto" w:fill="auto"/>
          </w:tcPr>
          <w:p w14:paraId="1377C225" w14:textId="03707953" w:rsidR="00E92A54" w:rsidRPr="00994FEC" w:rsidRDefault="00E92A54" w:rsidP="00085A3D">
            <w:pPr>
              <w:pStyle w:val="Tabellentext"/>
            </w:pPr>
            <w:r>
              <w:t>Bewertungskriterium</w:t>
            </w:r>
          </w:p>
          <w:p w14:paraId="745FBB63" w14:textId="303F7FA1" w:rsidR="00E92A54" w:rsidRPr="00994FEC" w:rsidRDefault="00E92A54" w:rsidP="00085A3D">
            <w:pPr>
              <w:pStyle w:val="Tabellentext"/>
            </w:pPr>
            <w:r w:rsidRPr="00994FEC">
              <w:t xml:space="preserve">Nachweis durch </w:t>
            </w:r>
            <w:r w:rsidRPr="00E92A54">
              <w:t>Prüfgutachten gemäß der Norm DIN ISO 16000-28 in Verbindung mit VDI 4302</w:t>
            </w:r>
          </w:p>
        </w:tc>
        <w:tc>
          <w:tcPr>
            <w:tcW w:w="1743" w:type="dxa"/>
            <w:shd w:val="clear" w:color="auto" w:fill="auto"/>
            <w:vAlign w:val="center"/>
          </w:tcPr>
          <w:p w14:paraId="17A4BCC7" w14:textId="77777777" w:rsidR="00E92A54" w:rsidRPr="005B05B8" w:rsidRDefault="00E92A54"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3F32" w:rsidRPr="004C4B67" w14:paraId="140814B9" w14:textId="77777777" w:rsidTr="001C2931">
        <w:trPr>
          <w:trHeight w:val="185"/>
          <w:tblHeader/>
        </w:trPr>
        <w:tc>
          <w:tcPr>
            <w:tcW w:w="5573" w:type="dxa"/>
            <w:shd w:val="clear" w:color="auto" w:fill="D9D9D9"/>
            <w:vAlign w:val="center"/>
          </w:tcPr>
          <w:p w14:paraId="5B94FAE3" w14:textId="313A670F" w:rsidR="00103F32" w:rsidRPr="00994FEC" w:rsidRDefault="00E92A54" w:rsidP="00085A3D">
            <w:pPr>
              <w:pStyle w:val="Tabellentext"/>
            </w:pPr>
            <w:r w:rsidRPr="00E92A54">
              <w:t>4</w:t>
            </w:r>
            <w:r w:rsidRPr="00E92A54">
              <w:tab/>
              <w:t>Spezielle stoffliche Anforderungen</w:t>
            </w:r>
          </w:p>
        </w:tc>
        <w:tc>
          <w:tcPr>
            <w:tcW w:w="2323" w:type="dxa"/>
            <w:shd w:val="clear" w:color="auto" w:fill="D9D9D9"/>
            <w:vAlign w:val="center"/>
          </w:tcPr>
          <w:p w14:paraId="7D69C056" w14:textId="77777777" w:rsidR="00103F32" w:rsidRPr="00994FEC" w:rsidRDefault="00103F32" w:rsidP="00085A3D">
            <w:pPr>
              <w:pStyle w:val="Tabellentext"/>
            </w:pPr>
          </w:p>
        </w:tc>
        <w:tc>
          <w:tcPr>
            <w:tcW w:w="1743" w:type="dxa"/>
            <w:shd w:val="clear" w:color="auto" w:fill="D9D9D9"/>
            <w:vAlign w:val="center"/>
          </w:tcPr>
          <w:p w14:paraId="5D049655" w14:textId="77777777" w:rsidR="00103F32" w:rsidRPr="00994FEC" w:rsidRDefault="00103F32" w:rsidP="00085A3D">
            <w:pPr>
              <w:pStyle w:val="Tabellentext"/>
            </w:pPr>
          </w:p>
        </w:tc>
      </w:tr>
      <w:tr w:rsidR="00E92A54" w:rsidRPr="004C4B67" w14:paraId="3FDE137A" w14:textId="77777777" w:rsidTr="001C2931">
        <w:trPr>
          <w:trHeight w:val="185"/>
          <w:tblHeader/>
        </w:trPr>
        <w:tc>
          <w:tcPr>
            <w:tcW w:w="5573" w:type="dxa"/>
            <w:shd w:val="clear" w:color="auto" w:fill="D9D9D9"/>
            <w:vAlign w:val="center"/>
          </w:tcPr>
          <w:p w14:paraId="0957A10D" w14:textId="64252F57" w:rsidR="00E92A54" w:rsidRPr="00E92A54" w:rsidRDefault="00E92A54" w:rsidP="00085A3D">
            <w:pPr>
              <w:pStyle w:val="Tabellentext"/>
            </w:pPr>
            <w:r w:rsidRPr="00E92A54">
              <w:t>4.1</w:t>
            </w:r>
            <w:r w:rsidRPr="00E92A54">
              <w:tab/>
              <w:t>Alkylphenolethoxylat</w:t>
            </w:r>
          </w:p>
        </w:tc>
        <w:tc>
          <w:tcPr>
            <w:tcW w:w="2323" w:type="dxa"/>
            <w:shd w:val="clear" w:color="auto" w:fill="D9D9D9"/>
            <w:vAlign w:val="center"/>
          </w:tcPr>
          <w:p w14:paraId="01CA151E" w14:textId="77777777" w:rsidR="00E92A54" w:rsidRPr="00994FEC" w:rsidRDefault="00E92A54" w:rsidP="00085A3D">
            <w:pPr>
              <w:pStyle w:val="Tabellentext"/>
            </w:pPr>
          </w:p>
        </w:tc>
        <w:tc>
          <w:tcPr>
            <w:tcW w:w="1743" w:type="dxa"/>
            <w:shd w:val="clear" w:color="auto" w:fill="D9D9D9"/>
            <w:vAlign w:val="center"/>
          </w:tcPr>
          <w:p w14:paraId="4098C583" w14:textId="77777777" w:rsidR="00E92A54" w:rsidRPr="00994FEC" w:rsidRDefault="00E92A54" w:rsidP="00085A3D">
            <w:pPr>
              <w:pStyle w:val="Tabellentext"/>
            </w:pPr>
          </w:p>
        </w:tc>
      </w:tr>
      <w:tr w:rsidR="00103F32" w:rsidRPr="004C4B67" w14:paraId="251E435A" w14:textId="77777777" w:rsidTr="001C2931">
        <w:trPr>
          <w:trHeight w:val="284"/>
          <w:tblHeader/>
        </w:trPr>
        <w:tc>
          <w:tcPr>
            <w:tcW w:w="5573" w:type="dxa"/>
            <w:shd w:val="clear" w:color="auto" w:fill="auto"/>
          </w:tcPr>
          <w:p w14:paraId="150FA885" w14:textId="322221F6" w:rsidR="00103F32" w:rsidRPr="00994FEC" w:rsidRDefault="00E92A54" w:rsidP="00085A3D">
            <w:pPr>
              <w:pStyle w:val="Tabellentext"/>
            </w:pPr>
            <w:r w:rsidRPr="00E92A54">
              <w:t>Produkte, die Alkylphenolethoxylate (APEO) und/oder deren Derivate enthalten</w:t>
            </w:r>
            <w:r w:rsidR="0079733C">
              <w:t>,</w:t>
            </w:r>
            <w:r w:rsidRPr="00E92A54">
              <w:t xml:space="preserve"> dürfen dem Verlegewerkstoff nicht zugesetzt werden.</w:t>
            </w:r>
          </w:p>
        </w:tc>
        <w:tc>
          <w:tcPr>
            <w:tcW w:w="2323" w:type="dxa"/>
            <w:shd w:val="clear" w:color="auto" w:fill="auto"/>
          </w:tcPr>
          <w:p w14:paraId="14C0A958" w14:textId="6AB079D7" w:rsidR="00103F32" w:rsidRPr="00994FEC" w:rsidRDefault="00103F32" w:rsidP="00085A3D">
            <w:pPr>
              <w:pStyle w:val="Tabellentext"/>
            </w:pPr>
            <w:r w:rsidRPr="00994FEC">
              <w:t xml:space="preserve">Ausschlusskriterium </w:t>
            </w:r>
          </w:p>
          <w:p w14:paraId="3E2D6332" w14:textId="7012541C" w:rsidR="00103F32" w:rsidRPr="00994FEC" w:rsidRDefault="00103F32" w:rsidP="00085A3D">
            <w:pPr>
              <w:pStyle w:val="Tabellentext"/>
            </w:pPr>
            <w:r w:rsidRPr="00994FEC">
              <w:t xml:space="preserve">Nachweis durch </w:t>
            </w:r>
            <w:r w:rsidR="001C2931">
              <w:t>Herstellererklärung</w:t>
            </w:r>
          </w:p>
        </w:tc>
        <w:tc>
          <w:tcPr>
            <w:tcW w:w="1743" w:type="dxa"/>
            <w:shd w:val="clear" w:color="auto" w:fill="auto"/>
            <w:vAlign w:val="center"/>
          </w:tcPr>
          <w:p w14:paraId="6E4340EA"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3F32" w:rsidRPr="004C4B67" w14:paraId="2EDE52ED" w14:textId="77777777" w:rsidTr="001C2931">
        <w:trPr>
          <w:trHeight w:val="185"/>
          <w:tblHeader/>
        </w:trPr>
        <w:tc>
          <w:tcPr>
            <w:tcW w:w="5573" w:type="dxa"/>
            <w:shd w:val="clear" w:color="auto" w:fill="D9D9D9"/>
            <w:vAlign w:val="center"/>
          </w:tcPr>
          <w:p w14:paraId="150A8E5E" w14:textId="6BCE658A" w:rsidR="00103F32" w:rsidRPr="00994FEC" w:rsidRDefault="00E92A54" w:rsidP="00085A3D">
            <w:pPr>
              <w:pStyle w:val="Tabellentext"/>
            </w:pPr>
            <w:r w:rsidRPr="00E92A54">
              <w:t>4.2</w:t>
            </w:r>
            <w:r w:rsidRPr="00E92A54">
              <w:tab/>
              <w:t>Weichmacher</w:t>
            </w:r>
          </w:p>
        </w:tc>
        <w:tc>
          <w:tcPr>
            <w:tcW w:w="2323" w:type="dxa"/>
            <w:shd w:val="clear" w:color="auto" w:fill="D9D9D9"/>
            <w:vAlign w:val="center"/>
          </w:tcPr>
          <w:p w14:paraId="5104683D" w14:textId="77777777" w:rsidR="00103F32" w:rsidRPr="00994FEC" w:rsidRDefault="00103F32" w:rsidP="00085A3D">
            <w:pPr>
              <w:pStyle w:val="Tabellentext"/>
            </w:pPr>
          </w:p>
        </w:tc>
        <w:tc>
          <w:tcPr>
            <w:tcW w:w="1743" w:type="dxa"/>
            <w:shd w:val="clear" w:color="auto" w:fill="D9D9D9"/>
            <w:vAlign w:val="center"/>
          </w:tcPr>
          <w:p w14:paraId="311FDFED" w14:textId="77777777" w:rsidR="00103F32" w:rsidRPr="00994FEC" w:rsidRDefault="00103F32" w:rsidP="00085A3D">
            <w:pPr>
              <w:pStyle w:val="Tabellentext"/>
            </w:pPr>
          </w:p>
        </w:tc>
      </w:tr>
      <w:tr w:rsidR="00103F32" w:rsidRPr="004C4B67" w14:paraId="00D913B1" w14:textId="77777777" w:rsidTr="001C2931">
        <w:trPr>
          <w:trHeight w:val="284"/>
          <w:tblHeader/>
        </w:trPr>
        <w:tc>
          <w:tcPr>
            <w:tcW w:w="5573" w:type="dxa"/>
            <w:shd w:val="clear" w:color="auto" w:fill="auto"/>
          </w:tcPr>
          <w:p w14:paraId="18A67183" w14:textId="77777777" w:rsidR="00E92A54" w:rsidRDefault="00E92A54" w:rsidP="00085A3D">
            <w:pPr>
              <w:pStyle w:val="Tabellentext"/>
            </w:pPr>
            <w:r>
              <w:t>Produkte, die weichmachende Substanzen aus der Gruppe der Phthalate oder aus der Gruppe der Organophosphate enthalten, dürfen dem Verlegewerkstoff nicht zugesetzt werden.</w:t>
            </w:r>
          </w:p>
          <w:p w14:paraId="445D5BB2" w14:textId="77777777" w:rsidR="00E92A54" w:rsidRDefault="00E92A54" w:rsidP="00085A3D">
            <w:pPr>
              <w:pStyle w:val="Tabellentext"/>
            </w:pPr>
            <w:r>
              <w:t>Wobei folgendes gilt:</w:t>
            </w:r>
          </w:p>
          <w:p w14:paraId="4C93A2D7" w14:textId="6337230C" w:rsidR="00E92A54" w:rsidRDefault="00E92A54" w:rsidP="00085A3D">
            <w:pPr>
              <w:pStyle w:val="Aufzhlung"/>
            </w:pPr>
            <w:r>
              <w:t>Für dispersionsbasierte Bodenbelagsklebstoffe können viskositätsregulierende und nach CLP-Verordnung kennzeichnungsfreie Stoffe bis max. 5 Gew.-% im fertigen Produkt eingesetzt werden.</w:t>
            </w:r>
          </w:p>
          <w:p w14:paraId="2220210C" w14:textId="031241F3" w:rsidR="00103F32" w:rsidRPr="00994FEC" w:rsidRDefault="00E92A54" w:rsidP="00085A3D">
            <w:pPr>
              <w:pStyle w:val="Aufzhlung"/>
            </w:pPr>
            <w:r>
              <w:t>Für Klebstoffe auf SMP-Basis können viskositätsregulierende und nach CLP-Verordnung kennzeichnungsfreie Stoffe bis max. 15 Gew.-% im fertigen Produkt eingesetzt werden.</w:t>
            </w:r>
          </w:p>
        </w:tc>
        <w:tc>
          <w:tcPr>
            <w:tcW w:w="2323" w:type="dxa"/>
            <w:shd w:val="clear" w:color="auto" w:fill="auto"/>
          </w:tcPr>
          <w:p w14:paraId="45A07FC2" w14:textId="5FB80710" w:rsidR="00103F32" w:rsidRPr="00994FEC" w:rsidRDefault="00103F32" w:rsidP="00085A3D">
            <w:pPr>
              <w:pStyle w:val="Tabellentext"/>
            </w:pPr>
            <w:r w:rsidRPr="00994FEC">
              <w:t xml:space="preserve">Ausschlusskriterium </w:t>
            </w:r>
          </w:p>
          <w:p w14:paraId="39520A5F" w14:textId="72E6D2A8" w:rsidR="00103F32" w:rsidRPr="00994FEC" w:rsidRDefault="00103F32" w:rsidP="00085A3D">
            <w:pPr>
              <w:pStyle w:val="Tabellentext"/>
            </w:pPr>
            <w:r w:rsidRPr="00994FEC">
              <w:t xml:space="preserve">Nachweis durch </w:t>
            </w:r>
            <w:r w:rsidR="001C2931">
              <w:t>Herstellererklärung</w:t>
            </w:r>
          </w:p>
        </w:tc>
        <w:tc>
          <w:tcPr>
            <w:tcW w:w="1743" w:type="dxa"/>
            <w:shd w:val="clear" w:color="auto" w:fill="auto"/>
            <w:vAlign w:val="center"/>
          </w:tcPr>
          <w:p w14:paraId="1B64B0A3"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0B32D5F" w14:textId="77777777" w:rsidR="001C2931" w:rsidRDefault="001C2931"/>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57"/>
        <w:gridCol w:w="2266"/>
        <w:gridCol w:w="25"/>
        <w:gridCol w:w="1718"/>
      </w:tblGrid>
      <w:tr w:rsidR="00103F32" w:rsidRPr="004C4B67" w14:paraId="38BD0913" w14:textId="77777777" w:rsidTr="001C2931">
        <w:trPr>
          <w:trHeight w:val="185"/>
          <w:tblHeader/>
        </w:trPr>
        <w:tc>
          <w:tcPr>
            <w:tcW w:w="5573" w:type="dxa"/>
            <w:shd w:val="clear" w:color="auto" w:fill="D9D9D9"/>
            <w:vAlign w:val="center"/>
          </w:tcPr>
          <w:p w14:paraId="22D522CD" w14:textId="00A6CB14" w:rsidR="00103F32" w:rsidRPr="00994FEC" w:rsidRDefault="004F67EC" w:rsidP="00085A3D">
            <w:pPr>
              <w:pStyle w:val="Tabellentext"/>
            </w:pPr>
            <w:r w:rsidRPr="004F67EC">
              <w:lastRenderedPageBreak/>
              <w:t>4.3</w:t>
            </w:r>
            <w:r w:rsidRPr="004F67EC">
              <w:tab/>
              <w:t>Perfluorierte und polyfluorierte Chemikalien</w:t>
            </w:r>
          </w:p>
        </w:tc>
        <w:tc>
          <w:tcPr>
            <w:tcW w:w="2323" w:type="dxa"/>
            <w:gridSpan w:val="2"/>
            <w:shd w:val="clear" w:color="auto" w:fill="D9D9D9"/>
            <w:vAlign w:val="center"/>
          </w:tcPr>
          <w:p w14:paraId="65A4E079" w14:textId="77777777" w:rsidR="00103F32" w:rsidRPr="00994FEC" w:rsidRDefault="00103F32" w:rsidP="00085A3D">
            <w:pPr>
              <w:pStyle w:val="Tabellentext"/>
            </w:pPr>
          </w:p>
        </w:tc>
        <w:tc>
          <w:tcPr>
            <w:tcW w:w="1743" w:type="dxa"/>
            <w:gridSpan w:val="2"/>
            <w:shd w:val="clear" w:color="auto" w:fill="D9D9D9"/>
            <w:vAlign w:val="center"/>
          </w:tcPr>
          <w:p w14:paraId="01446AAC" w14:textId="77777777" w:rsidR="00103F32" w:rsidRPr="00994FEC" w:rsidRDefault="00103F32" w:rsidP="00085A3D">
            <w:pPr>
              <w:pStyle w:val="Tabellentext"/>
            </w:pPr>
          </w:p>
        </w:tc>
      </w:tr>
      <w:tr w:rsidR="00103F32" w:rsidRPr="004C4B67" w14:paraId="5B118B65" w14:textId="77777777" w:rsidTr="001C2931">
        <w:trPr>
          <w:trHeight w:val="284"/>
          <w:tblHeader/>
        </w:trPr>
        <w:tc>
          <w:tcPr>
            <w:tcW w:w="5573" w:type="dxa"/>
            <w:shd w:val="clear" w:color="auto" w:fill="auto"/>
          </w:tcPr>
          <w:p w14:paraId="4711E768" w14:textId="2F8F6447" w:rsidR="00103F32" w:rsidRPr="00994FEC" w:rsidRDefault="004F67EC" w:rsidP="00085A3D">
            <w:pPr>
              <w:pStyle w:val="Tabellentext"/>
            </w:pPr>
            <w:r w:rsidRPr="004F67EC">
              <w:t>Es dürfen keine per- und polyfluorierten Chemikalien (PFC), beispielsweise Fluorcarbonharze und -dispersionen, perfluorierte Sulfon- und Karbonsäuren sowie Stoffe, die möglicherweise zu diesen abgebaut werden, eingesetzt werden. Das gilt auch für PFC behandelte Vorprodukte.</w:t>
            </w:r>
          </w:p>
        </w:tc>
        <w:tc>
          <w:tcPr>
            <w:tcW w:w="2323" w:type="dxa"/>
            <w:gridSpan w:val="2"/>
            <w:shd w:val="clear" w:color="auto" w:fill="auto"/>
          </w:tcPr>
          <w:p w14:paraId="14E76D5B" w14:textId="7988BAEF" w:rsidR="00103F32" w:rsidRPr="00994FEC" w:rsidRDefault="00103F32" w:rsidP="00085A3D">
            <w:pPr>
              <w:pStyle w:val="Tabellentext"/>
            </w:pPr>
            <w:r w:rsidRPr="00994FEC">
              <w:t xml:space="preserve">Ausschlusskriterium </w:t>
            </w:r>
          </w:p>
          <w:p w14:paraId="0D5AF71B" w14:textId="0AA491B4" w:rsidR="00103F32" w:rsidRPr="00994FEC" w:rsidRDefault="00103F32" w:rsidP="00085A3D">
            <w:pPr>
              <w:pStyle w:val="Tabellentext"/>
            </w:pPr>
            <w:r w:rsidRPr="00994FEC">
              <w:t xml:space="preserve">Nachweis durch </w:t>
            </w:r>
            <w:r w:rsidR="001C2931">
              <w:t>Herstellererklärung</w:t>
            </w:r>
          </w:p>
        </w:tc>
        <w:tc>
          <w:tcPr>
            <w:tcW w:w="1743" w:type="dxa"/>
            <w:gridSpan w:val="2"/>
            <w:shd w:val="clear" w:color="auto" w:fill="auto"/>
            <w:vAlign w:val="center"/>
          </w:tcPr>
          <w:p w14:paraId="75C67F60"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3F32" w:rsidRPr="004C4B67" w14:paraId="10492CA2" w14:textId="77777777" w:rsidTr="001C2931">
        <w:trPr>
          <w:trHeight w:val="185"/>
          <w:tblHeader/>
        </w:trPr>
        <w:tc>
          <w:tcPr>
            <w:tcW w:w="5573" w:type="dxa"/>
            <w:shd w:val="clear" w:color="auto" w:fill="D9D9D9"/>
            <w:vAlign w:val="center"/>
          </w:tcPr>
          <w:p w14:paraId="4B1D95E8" w14:textId="3DA1F949" w:rsidR="00103F32" w:rsidRPr="00994FEC" w:rsidRDefault="004F67EC" w:rsidP="00085A3D">
            <w:pPr>
              <w:pStyle w:val="Tabellentext"/>
            </w:pPr>
            <w:r w:rsidRPr="004F67EC">
              <w:t>4.4</w:t>
            </w:r>
            <w:r w:rsidRPr="004F67EC">
              <w:tab/>
              <w:t>Oxidierbare Fettsäuren und Fettsäureester</w:t>
            </w:r>
          </w:p>
        </w:tc>
        <w:tc>
          <w:tcPr>
            <w:tcW w:w="2323" w:type="dxa"/>
            <w:gridSpan w:val="2"/>
            <w:shd w:val="clear" w:color="auto" w:fill="D9D9D9"/>
            <w:vAlign w:val="center"/>
          </w:tcPr>
          <w:p w14:paraId="490CB48E" w14:textId="77777777" w:rsidR="00103F32" w:rsidRPr="00994FEC" w:rsidRDefault="00103F32" w:rsidP="00085A3D">
            <w:pPr>
              <w:pStyle w:val="Tabellentext"/>
            </w:pPr>
          </w:p>
        </w:tc>
        <w:tc>
          <w:tcPr>
            <w:tcW w:w="1743" w:type="dxa"/>
            <w:gridSpan w:val="2"/>
            <w:shd w:val="clear" w:color="auto" w:fill="D9D9D9"/>
            <w:vAlign w:val="center"/>
          </w:tcPr>
          <w:p w14:paraId="07778C2C" w14:textId="77777777" w:rsidR="00103F32" w:rsidRPr="00994FEC" w:rsidRDefault="00103F32" w:rsidP="00085A3D">
            <w:pPr>
              <w:pStyle w:val="Tabellentext"/>
            </w:pPr>
          </w:p>
        </w:tc>
      </w:tr>
      <w:tr w:rsidR="00103F32" w:rsidRPr="004C4B67" w14:paraId="75D42DCA" w14:textId="77777777" w:rsidTr="001C2931">
        <w:trPr>
          <w:trHeight w:val="284"/>
          <w:tblHeader/>
        </w:trPr>
        <w:tc>
          <w:tcPr>
            <w:tcW w:w="5573" w:type="dxa"/>
            <w:shd w:val="clear" w:color="auto" w:fill="auto"/>
          </w:tcPr>
          <w:p w14:paraId="6242029D" w14:textId="09A5853D" w:rsidR="00103F32" w:rsidRPr="00994FEC" w:rsidRDefault="002B12BD" w:rsidP="00085A3D">
            <w:pPr>
              <w:pStyle w:val="Tabellentext"/>
            </w:pPr>
            <w:r w:rsidRPr="002B12BD">
              <w:t>Die Verlegewerkstoffe und die eingesetzten Vorprodukte (z. B. Polymerdispersionen, Harze oder vergleichbare Bestandteile) dürfen keine oxidierbaren Fettsäuren oder oxidierbare Fettsäureester als konstitutionelle Bestandteile enthalten.</w:t>
            </w:r>
          </w:p>
        </w:tc>
        <w:tc>
          <w:tcPr>
            <w:tcW w:w="2323" w:type="dxa"/>
            <w:gridSpan w:val="2"/>
            <w:shd w:val="clear" w:color="auto" w:fill="auto"/>
          </w:tcPr>
          <w:p w14:paraId="196B30FB" w14:textId="574DF4F4" w:rsidR="00103F32" w:rsidRPr="00994FEC" w:rsidRDefault="00103F32" w:rsidP="00085A3D">
            <w:pPr>
              <w:pStyle w:val="Tabellentext"/>
            </w:pPr>
            <w:r w:rsidRPr="00994FEC">
              <w:t xml:space="preserve">Ausschlusskriterium </w:t>
            </w:r>
          </w:p>
          <w:p w14:paraId="4042CEE5" w14:textId="66B113D5" w:rsidR="00103F32" w:rsidRPr="00994FEC" w:rsidRDefault="00103F32" w:rsidP="00085A3D">
            <w:pPr>
              <w:pStyle w:val="Tabellentext"/>
            </w:pPr>
            <w:r w:rsidRPr="00994FEC">
              <w:t xml:space="preserve">Nachweis durch </w:t>
            </w:r>
            <w:r w:rsidR="001C2931">
              <w:t>Herstellererklärung</w:t>
            </w:r>
          </w:p>
        </w:tc>
        <w:tc>
          <w:tcPr>
            <w:tcW w:w="1743" w:type="dxa"/>
            <w:gridSpan w:val="2"/>
            <w:shd w:val="clear" w:color="auto" w:fill="auto"/>
            <w:vAlign w:val="center"/>
          </w:tcPr>
          <w:p w14:paraId="5E080C7E"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3F32" w:rsidRPr="004C4B67" w14:paraId="28A199E1" w14:textId="77777777" w:rsidTr="00380147">
        <w:trPr>
          <w:trHeight w:val="185"/>
          <w:tblHeader/>
        </w:trPr>
        <w:tc>
          <w:tcPr>
            <w:tcW w:w="5630" w:type="dxa"/>
            <w:gridSpan w:val="2"/>
            <w:shd w:val="clear" w:color="auto" w:fill="D9D9D9"/>
            <w:vAlign w:val="center"/>
          </w:tcPr>
          <w:p w14:paraId="67ED8D6D" w14:textId="58C23020" w:rsidR="00103F32" w:rsidRPr="00994FEC" w:rsidRDefault="002B12BD" w:rsidP="00085A3D">
            <w:pPr>
              <w:pStyle w:val="Tabellentext"/>
            </w:pPr>
            <w:r w:rsidRPr="002B12BD">
              <w:t>4.5</w:t>
            </w:r>
            <w:r w:rsidRPr="002B12BD">
              <w:tab/>
              <w:t>Zinnorganische Verbindungen</w:t>
            </w:r>
          </w:p>
        </w:tc>
        <w:tc>
          <w:tcPr>
            <w:tcW w:w="2291" w:type="dxa"/>
            <w:gridSpan w:val="2"/>
            <w:shd w:val="clear" w:color="auto" w:fill="D9D9D9"/>
            <w:vAlign w:val="center"/>
          </w:tcPr>
          <w:p w14:paraId="1F576FEF" w14:textId="77777777" w:rsidR="00103F32" w:rsidRPr="00994FEC" w:rsidRDefault="00103F32" w:rsidP="00085A3D">
            <w:pPr>
              <w:pStyle w:val="Tabellentext"/>
            </w:pPr>
          </w:p>
        </w:tc>
        <w:tc>
          <w:tcPr>
            <w:tcW w:w="1718" w:type="dxa"/>
            <w:shd w:val="clear" w:color="auto" w:fill="D9D9D9"/>
            <w:vAlign w:val="center"/>
          </w:tcPr>
          <w:p w14:paraId="786DD56C" w14:textId="77777777" w:rsidR="00103F32" w:rsidRPr="00994FEC" w:rsidRDefault="00103F32" w:rsidP="00085A3D">
            <w:pPr>
              <w:pStyle w:val="Tabellentext"/>
            </w:pPr>
          </w:p>
        </w:tc>
      </w:tr>
      <w:tr w:rsidR="00103F32" w:rsidRPr="004C4B67" w14:paraId="6616B245" w14:textId="77777777" w:rsidTr="00380147">
        <w:trPr>
          <w:trHeight w:val="284"/>
          <w:tblHeader/>
        </w:trPr>
        <w:tc>
          <w:tcPr>
            <w:tcW w:w="5630" w:type="dxa"/>
            <w:gridSpan w:val="2"/>
            <w:shd w:val="clear" w:color="auto" w:fill="auto"/>
          </w:tcPr>
          <w:p w14:paraId="5A991A23" w14:textId="2438F101" w:rsidR="00103F32" w:rsidRPr="00994FEC" w:rsidRDefault="002B12BD" w:rsidP="00085A3D">
            <w:pPr>
              <w:pStyle w:val="Tabellentext"/>
            </w:pPr>
            <w:r w:rsidRPr="002B12BD">
              <w:t>Die Verwendung zinnorganischer Verbindungen ist nicht zulässig. Ausgenommen ist der Einsatz zinnorganischer Verbindungen gemäß der Empfehlung des BfR XV. Silicone als Katalysator für die Vernetzungsreaktion von SMP-Klebstoffen.</w:t>
            </w:r>
          </w:p>
        </w:tc>
        <w:tc>
          <w:tcPr>
            <w:tcW w:w="2291" w:type="dxa"/>
            <w:gridSpan w:val="2"/>
            <w:shd w:val="clear" w:color="auto" w:fill="auto"/>
          </w:tcPr>
          <w:p w14:paraId="3E8CA2E8" w14:textId="33146DF5" w:rsidR="00103F32" w:rsidRPr="00994FEC" w:rsidRDefault="00103F32" w:rsidP="00085A3D">
            <w:pPr>
              <w:pStyle w:val="Tabellentext"/>
            </w:pPr>
            <w:r w:rsidRPr="00994FEC">
              <w:t xml:space="preserve">Ausschlusskriterium </w:t>
            </w:r>
          </w:p>
          <w:p w14:paraId="3452713A" w14:textId="181B83D3" w:rsidR="00103F32" w:rsidRPr="00994FEC" w:rsidRDefault="00103F32" w:rsidP="00085A3D">
            <w:pPr>
              <w:pStyle w:val="Tabellentext"/>
            </w:pPr>
            <w:r w:rsidRPr="00994FEC">
              <w:t xml:space="preserve">Nachweis durch </w:t>
            </w:r>
            <w:r w:rsidR="001C2931">
              <w:t>Herstellererklärung</w:t>
            </w:r>
          </w:p>
        </w:tc>
        <w:tc>
          <w:tcPr>
            <w:tcW w:w="1718" w:type="dxa"/>
            <w:shd w:val="clear" w:color="auto" w:fill="auto"/>
            <w:vAlign w:val="center"/>
          </w:tcPr>
          <w:p w14:paraId="59CE9AD5"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103F32" w:rsidRPr="004C4B67" w14:paraId="2A1FE511" w14:textId="77777777" w:rsidTr="00380147">
        <w:trPr>
          <w:trHeight w:val="185"/>
          <w:tblHeader/>
        </w:trPr>
        <w:tc>
          <w:tcPr>
            <w:tcW w:w="5630" w:type="dxa"/>
            <w:gridSpan w:val="2"/>
            <w:shd w:val="clear" w:color="auto" w:fill="D9D9D9"/>
            <w:vAlign w:val="center"/>
          </w:tcPr>
          <w:p w14:paraId="0FC1F98E" w14:textId="291B61FC" w:rsidR="00103F32" w:rsidRPr="00994FEC" w:rsidRDefault="002B12BD" w:rsidP="00085A3D">
            <w:pPr>
              <w:pStyle w:val="Tabellentext"/>
            </w:pPr>
            <w:r w:rsidRPr="002B12BD">
              <w:t>5</w:t>
            </w:r>
            <w:r w:rsidRPr="002B12BD">
              <w:tab/>
            </w:r>
            <w:r w:rsidR="001C2931" w:rsidRPr="001C2931">
              <w:t>Konservierungsmittel</w:t>
            </w:r>
          </w:p>
        </w:tc>
        <w:tc>
          <w:tcPr>
            <w:tcW w:w="2291" w:type="dxa"/>
            <w:gridSpan w:val="2"/>
            <w:shd w:val="clear" w:color="auto" w:fill="D9D9D9"/>
            <w:vAlign w:val="center"/>
          </w:tcPr>
          <w:p w14:paraId="1F8F7310" w14:textId="77777777" w:rsidR="00103F32" w:rsidRPr="00994FEC" w:rsidRDefault="00103F32" w:rsidP="00085A3D">
            <w:pPr>
              <w:pStyle w:val="Tabellentext"/>
            </w:pPr>
          </w:p>
        </w:tc>
        <w:tc>
          <w:tcPr>
            <w:tcW w:w="1718" w:type="dxa"/>
            <w:shd w:val="clear" w:color="auto" w:fill="D9D9D9"/>
            <w:vAlign w:val="center"/>
          </w:tcPr>
          <w:p w14:paraId="5D3DE24F" w14:textId="77777777" w:rsidR="00103F32" w:rsidRPr="00994FEC" w:rsidRDefault="00103F32" w:rsidP="00085A3D">
            <w:pPr>
              <w:pStyle w:val="Tabellentext"/>
            </w:pPr>
          </w:p>
        </w:tc>
      </w:tr>
      <w:tr w:rsidR="00103F32" w:rsidRPr="004C4B67" w14:paraId="57AE0DD1" w14:textId="77777777" w:rsidTr="00380147">
        <w:trPr>
          <w:trHeight w:val="284"/>
          <w:tblHeader/>
        </w:trPr>
        <w:tc>
          <w:tcPr>
            <w:tcW w:w="5630" w:type="dxa"/>
            <w:gridSpan w:val="2"/>
            <w:shd w:val="clear" w:color="auto" w:fill="auto"/>
          </w:tcPr>
          <w:p w14:paraId="40590230" w14:textId="125FC974" w:rsidR="00103F32" w:rsidRPr="00994FEC" w:rsidRDefault="002B12BD" w:rsidP="00085A3D">
            <w:pPr>
              <w:pStyle w:val="Tabellentext"/>
            </w:pPr>
            <w:r w:rsidRPr="002B12BD">
              <w:t>Die Verlegewerkstoffe dürfen keine Biozide enthalten, ausgenommen sind die</w:t>
            </w:r>
            <w:r w:rsidR="000431E7">
              <w:t xml:space="preserve"> </w:t>
            </w:r>
            <w:r w:rsidR="000431E7" w:rsidRPr="000431E7">
              <w:t>Anhang B</w:t>
            </w:r>
            <w:r w:rsidRPr="002B12BD">
              <w:t xml:space="preserve"> „Liste der zulässigen Topfkonservierer“ genannten Topfkonservierer für wässrige Verlegewerkstoffe mit den dort genannten Gehalten.</w:t>
            </w:r>
          </w:p>
        </w:tc>
        <w:tc>
          <w:tcPr>
            <w:tcW w:w="2291" w:type="dxa"/>
            <w:gridSpan w:val="2"/>
            <w:shd w:val="clear" w:color="auto" w:fill="auto"/>
          </w:tcPr>
          <w:p w14:paraId="31B5B49B" w14:textId="09DDB926" w:rsidR="00103F32" w:rsidRPr="00994FEC" w:rsidRDefault="00103F32" w:rsidP="00085A3D">
            <w:pPr>
              <w:pStyle w:val="Tabellentext"/>
            </w:pPr>
            <w:r w:rsidRPr="00994FEC">
              <w:t xml:space="preserve">Ausschlusskriterium </w:t>
            </w:r>
          </w:p>
          <w:p w14:paraId="22DE7348" w14:textId="2100900C" w:rsidR="00103F32" w:rsidRPr="00994FEC" w:rsidRDefault="00103F32" w:rsidP="00085A3D">
            <w:pPr>
              <w:pStyle w:val="Tabellentext"/>
            </w:pPr>
            <w:r w:rsidRPr="00994FEC">
              <w:t xml:space="preserve">Nachweis durch </w:t>
            </w:r>
            <w:r w:rsidR="002B12BD" w:rsidRPr="002B12BD">
              <w:t xml:space="preserve">Vorlage einer </w:t>
            </w:r>
            <w:r w:rsidR="00AE394B">
              <w:t>Herstellere</w:t>
            </w:r>
            <w:r w:rsidR="002B12BD" w:rsidRPr="002B12BD">
              <w:t>rklärung</w:t>
            </w:r>
          </w:p>
        </w:tc>
        <w:tc>
          <w:tcPr>
            <w:tcW w:w="1718" w:type="dxa"/>
            <w:shd w:val="clear" w:color="auto" w:fill="auto"/>
            <w:vAlign w:val="center"/>
          </w:tcPr>
          <w:p w14:paraId="4AF943E2" w14:textId="77777777" w:rsidR="00103F32" w:rsidRPr="005B05B8" w:rsidRDefault="00103F32" w:rsidP="0079733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B92EFB">
              <w:rPr>
                <w:rFonts w:ascii="Meta Offc" w:hAnsi="Meta Offc" w:cs="Meta Offc"/>
                <w:sz w:val="18"/>
                <w:szCs w:val="18"/>
              </w:rPr>
            </w:r>
            <w:r w:rsidR="00B92EF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5527D54" w14:textId="6F216289" w:rsidR="000431E7" w:rsidRDefault="000431E7"/>
    <w:p w14:paraId="6ECE19F4" w14:textId="77777777" w:rsidR="000431E7" w:rsidRDefault="000431E7">
      <w:pPr>
        <w:spacing w:after="0"/>
      </w:pPr>
      <w:r>
        <w:br w:type="page"/>
      </w:r>
    </w:p>
    <w:p w14:paraId="0BC2D12A" w14:textId="1145E95E" w:rsidR="000431E7" w:rsidRDefault="000431E7" w:rsidP="00085A3D">
      <w:pPr>
        <w:pStyle w:val="berschrift1"/>
      </w:pPr>
      <w:r>
        <w:lastRenderedPageBreak/>
        <w:t>Anhang A: Ausgeschlossene Gefahrenklassen und -kategorien</w:t>
      </w:r>
    </w:p>
    <w:p w14:paraId="4BDEE01F" w14:textId="61246782" w:rsidR="000431E7" w:rsidRDefault="000431E7" w:rsidP="00085A3D">
      <w:pPr>
        <w:pStyle w:val="Textkrper"/>
      </w:pPr>
      <w:r>
        <w:t xml:space="preserve">Folgende Tabelle ordnet den im Kriterium 1 Allgemeine stoffliche Anforderungen genannten Gefahrenkategorien die entsprechenden Gefahrenhinweise (H-Sätze) gemäß CLP-Verordnung (EG) Nr. 1272/2008 zu. </w:t>
      </w:r>
    </w:p>
    <w:p w14:paraId="758E88C1" w14:textId="77777777" w:rsidR="00D42B95" w:rsidRPr="00D42B95" w:rsidRDefault="00D42B95" w:rsidP="00085A3D">
      <w:pPr>
        <w:pStyle w:val="Beschriftung"/>
        <w:rPr>
          <w:rFonts w:eastAsia="Cambria"/>
          <w:lang w:eastAsia="en-US"/>
        </w:rPr>
      </w:pPr>
      <w:r w:rsidRPr="00D42B95">
        <w:rPr>
          <w:rFonts w:eastAsia="Cambria"/>
          <w:lang w:eastAsia="en-US"/>
        </w:rPr>
        <w:t>Tabelle 1:</w:t>
      </w:r>
      <w:r w:rsidRPr="00D42B95">
        <w:rPr>
          <w:rFonts w:eastAsia="Cambria"/>
          <w:lang w:eastAsia="en-US"/>
        </w:rPr>
        <w:tab/>
        <w:t>Gefahrenhinweise (H-Sätze) gemäß CLP-Verordnung (EG) Nr. 1272/2008</w:t>
      </w:r>
    </w:p>
    <w:tbl>
      <w:tblPr>
        <w:tblStyle w:val="UBATabellenformatvorlage1"/>
        <w:tblW w:w="4940" w:type="pct"/>
        <w:tblLook w:val="0020" w:firstRow="1" w:lastRow="0" w:firstColumn="0" w:lastColumn="0" w:noHBand="0" w:noVBand="0"/>
      </w:tblPr>
      <w:tblGrid>
        <w:gridCol w:w="2005"/>
        <w:gridCol w:w="1853"/>
        <w:gridCol w:w="5664"/>
      </w:tblGrid>
      <w:tr w:rsidR="00D42B95" w:rsidRPr="00D42B95" w14:paraId="78834C02" w14:textId="77777777" w:rsidTr="00D42B95">
        <w:trPr>
          <w:cnfStyle w:val="100000000000" w:firstRow="1" w:lastRow="0" w:firstColumn="0" w:lastColumn="0" w:oddVBand="0" w:evenVBand="0" w:oddHBand="0" w:evenHBand="0" w:firstRowFirstColumn="0" w:firstRowLastColumn="0" w:lastRowFirstColumn="0" w:lastRowLastColumn="0"/>
          <w:trHeight w:val="170"/>
        </w:trPr>
        <w:tc>
          <w:tcPr>
            <w:tcW w:w="1053" w:type="pct"/>
          </w:tcPr>
          <w:p w14:paraId="782145ED" w14:textId="77777777" w:rsidR="00D42B95" w:rsidRPr="00D42B95" w:rsidRDefault="00D42B95" w:rsidP="00085A3D">
            <w:pPr>
              <w:pStyle w:val="Tabellentextfett"/>
            </w:pPr>
            <w:r w:rsidRPr="00D42B95">
              <w:t>Gefahrenkategorien</w:t>
            </w:r>
          </w:p>
        </w:tc>
        <w:tc>
          <w:tcPr>
            <w:tcW w:w="973" w:type="pct"/>
            <w:vAlign w:val="center"/>
          </w:tcPr>
          <w:p w14:paraId="2F849201" w14:textId="77777777" w:rsidR="00D42B95" w:rsidRPr="00D42B95" w:rsidRDefault="00D42B95" w:rsidP="00085A3D">
            <w:pPr>
              <w:pStyle w:val="Tabellentextfett"/>
            </w:pPr>
            <w:r w:rsidRPr="00D42B95">
              <w:t>H-Satz</w:t>
            </w:r>
          </w:p>
        </w:tc>
        <w:tc>
          <w:tcPr>
            <w:tcW w:w="2974" w:type="pct"/>
            <w:vAlign w:val="center"/>
          </w:tcPr>
          <w:p w14:paraId="0BE2026A" w14:textId="77777777" w:rsidR="00D42B95" w:rsidRPr="00D42B95" w:rsidRDefault="00D42B95" w:rsidP="00085A3D">
            <w:pPr>
              <w:pStyle w:val="Tabellentextfett"/>
            </w:pPr>
            <w:r w:rsidRPr="00D42B95">
              <w:t>Gefahrenhinweise</w:t>
            </w:r>
          </w:p>
        </w:tc>
      </w:tr>
      <w:tr w:rsidR="00D42B95" w:rsidRPr="00D42B95" w14:paraId="2B6B799B" w14:textId="77777777" w:rsidTr="000D61C9">
        <w:trPr>
          <w:trHeight w:val="170"/>
        </w:trPr>
        <w:tc>
          <w:tcPr>
            <w:tcW w:w="5000" w:type="pct"/>
            <w:gridSpan w:val="3"/>
          </w:tcPr>
          <w:p w14:paraId="6007EF12" w14:textId="77777777" w:rsidR="00D42B95" w:rsidRPr="00D42B95" w:rsidRDefault="00D42B95" w:rsidP="00085A3D">
            <w:pPr>
              <w:pStyle w:val="Tabellentextfett"/>
            </w:pPr>
            <w:r w:rsidRPr="00D42B95">
              <w:t>karzinogene (krebserzeugende) Stoffe</w:t>
            </w:r>
          </w:p>
        </w:tc>
      </w:tr>
      <w:tr w:rsidR="00D42B95" w:rsidRPr="00D42B95" w14:paraId="0AE3A70B" w14:textId="77777777" w:rsidTr="00D42B95">
        <w:trPr>
          <w:cnfStyle w:val="000000010000" w:firstRow="0" w:lastRow="0" w:firstColumn="0" w:lastColumn="0" w:oddVBand="0" w:evenVBand="0" w:oddHBand="0" w:evenHBand="1" w:firstRowFirstColumn="0" w:firstRowLastColumn="0" w:lastRowFirstColumn="0" w:lastRowLastColumn="0"/>
          <w:trHeight w:val="110"/>
        </w:trPr>
        <w:tc>
          <w:tcPr>
            <w:tcW w:w="1053" w:type="pct"/>
          </w:tcPr>
          <w:p w14:paraId="5524F0A5" w14:textId="77777777" w:rsidR="00D42B95" w:rsidRPr="00D42B95" w:rsidRDefault="00D42B95" w:rsidP="00085A3D">
            <w:pPr>
              <w:pStyle w:val="Tabellentext"/>
            </w:pPr>
            <w:r w:rsidRPr="00D42B95">
              <w:t>Carc. 1A</w:t>
            </w:r>
          </w:p>
        </w:tc>
        <w:tc>
          <w:tcPr>
            <w:tcW w:w="973" w:type="pct"/>
          </w:tcPr>
          <w:p w14:paraId="0530D2C5" w14:textId="77777777" w:rsidR="00D42B95" w:rsidRPr="00D42B95" w:rsidRDefault="00D42B95" w:rsidP="00085A3D">
            <w:pPr>
              <w:pStyle w:val="Tabellentext"/>
            </w:pPr>
            <w:r w:rsidRPr="00D42B95">
              <w:t>H350</w:t>
            </w:r>
          </w:p>
        </w:tc>
        <w:tc>
          <w:tcPr>
            <w:tcW w:w="2974" w:type="pct"/>
          </w:tcPr>
          <w:p w14:paraId="3D128777" w14:textId="77777777" w:rsidR="00D42B95" w:rsidRPr="00D42B95" w:rsidRDefault="00D42B95" w:rsidP="00085A3D">
            <w:pPr>
              <w:pStyle w:val="Tabellentext"/>
            </w:pPr>
            <w:r w:rsidRPr="00D42B95">
              <w:t>Kann Krebs erzeugen.</w:t>
            </w:r>
          </w:p>
        </w:tc>
      </w:tr>
      <w:tr w:rsidR="00D42B95" w:rsidRPr="00D42B95" w14:paraId="0BC6C5AC" w14:textId="77777777" w:rsidTr="000D61C9">
        <w:trPr>
          <w:trHeight w:val="110"/>
        </w:trPr>
        <w:tc>
          <w:tcPr>
            <w:tcW w:w="1053" w:type="pct"/>
          </w:tcPr>
          <w:p w14:paraId="5A8BF70F" w14:textId="77777777" w:rsidR="00D42B95" w:rsidRPr="00D42B95" w:rsidRDefault="00D42B95" w:rsidP="00085A3D">
            <w:pPr>
              <w:pStyle w:val="Tabellentext"/>
            </w:pPr>
            <w:r w:rsidRPr="00D42B95">
              <w:t>Carc. 1B</w:t>
            </w:r>
          </w:p>
        </w:tc>
        <w:tc>
          <w:tcPr>
            <w:tcW w:w="973" w:type="pct"/>
          </w:tcPr>
          <w:p w14:paraId="4691DEC7" w14:textId="77777777" w:rsidR="00D42B95" w:rsidRPr="00D42B95" w:rsidRDefault="00D42B95" w:rsidP="00085A3D">
            <w:pPr>
              <w:pStyle w:val="Tabellentext"/>
            </w:pPr>
            <w:r w:rsidRPr="00D42B95">
              <w:t>H350</w:t>
            </w:r>
          </w:p>
        </w:tc>
        <w:tc>
          <w:tcPr>
            <w:tcW w:w="2974" w:type="pct"/>
          </w:tcPr>
          <w:p w14:paraId="651C5A72" w14:textId="77777777" w:rsidR="00D42B95" w:rsidRPr="00D42B95" w:rsidRDefault="00D42B95" w:rsidP="00085A3D">
            <w:pPr>
              <w:pStyle w:val="Tabellentext"/>
            </w:pPr>
            <w:r w:rsidRPr="00D42B95">
              <w:t>Kann Krebs erzeugen.</w:t>
            </w:r>
          </w:p>
        </w:tc>
      </w:tr>
      <w:tr w:rsidR="00D42B95" w:rsidRPr="00D42B95" w14:paraId="1E57F919" w14:textId="77777777" w:rsidTr="00D42B95">
        <w:trPr>
          <w:cnfStyle w:val="000000010000" w:firstRow="0" w:lastRow="0" w:firstColumn="0" w:lastColumn="0" w:oddVBand="0" w:evenVBand="0" w:oddHBand="0" w:evenHBand="1" w:firstRowFirstColumn="0" w:firstRowLastColumn="0" w:lastRowFirstColumn="0" w:lastRowLastColumn="0"/>
          <w:trHeight w:val="264"/>
        </w:trPr>
        <w:tc>
          <w:tcPr>
            <w:tcW w:w="1053" w:type="pct"/>
          </w:tcPr>
          <w:p w14:paraId="639A0D6E" w14:textId="77777777" w:rsidR="00D42B95" w:rsidRPr="00D42B95" w:rsidRDefault="00D42B95" w:rsidP="00085A3D">
            <w:pPr>
              <w:pStyle w:val="Tabellentext"/>
            </w:pPr>
            <w:r w:rsidRPr="00D42B95">
              <w:t>Carc. 1A, 1B</w:t>
            </w:r>
          </w:p>
        </w:tc>
        <w:tc>
          <w:tcPr>
            <w:tcW w:w="973" w:type="pct"/>
          </w:tcPr>
          <w:p w14:paraId="28022CC6" w14:textId="77777777" w:rsidR="00D42B95" w:rsidRPr="00D42B95" w:rsidRDefault="00D42B95" w:rsidP="00085A3D">
            <w:pPr>
              <w:pStyle w:val="Tabellentext"/>
            </w:pPr>
            <w:r w:rsidRPr="00D42B95">
              <w:t>H350i</w:t>
            </w:r>
          </w:p>
        </w:tc>
        <w:tc>
          <w:tcPr>
            <w:tcW w:w="2974" w:type="pct"/>
          </w:tcPr>
          <w:p w14:paraId="767C6C69" w14:textId="77777777" w:rsidR="00D42B95" w:rsidRPr="00D42B95" w:rsidRDefault="00D42B95" w:rsidP="00085A3D">
            <w:pPr>
              <w:pStyle w:val="Tabellentext"/>
            </w:pPr>
            <w:r w:rsidRPr="00D42B95">
              <w:t>Kann beim Einatmen Krebs erzeugen.</w:t>
            </w:r>
          </w:p>
        </w:tc>
      </w:tr>
      <w:tr w:rsidR="00D42B95" w:rsidRPr="00D42B95" w14:paraId="716A4287" w14:textId="77777777" w:rsidTr="000D61C9">
        <w:trPr>
          <w:trHeight w:val="264"/>
        </w:trPr>
        <w:tc>
          <w:tcPr>
            <w:tcW w:w="5000" w:type="pct"/>
            <w:gridSpan w:val="3"/>
          </w:tcPr>
          <w:p w14:paraId="2FFBFEC9" w14:textId="77777777" w:rsidR="00D42B95" w:rsidRPr="00D42B95" w:rsidRDefault="00D42B95" w:rsidP="00085A3D">
            <w:pPr>
              <w:pStyle w:val="Tabellentextfett"/>
            </w:pPr>
            <w:r w:rsidRPr="00D42B95">
              <w:t>keimzellmutagene (erbgutverändernde) Stoffe</w:t>
            </w:r>
          </w:p>
        </w:tc>
      </w:tr>
      <w:tr w:rsidR="00D42B95" w:rsidRPr="00D42B95" w14:paraId="13EBC748" w14:textId="77777777" w:rsidTr="00D42B95">
        <w:trPr>
          <w:cnfStyle w:val="000000010000" w:firstRow="0" w:lastRow="0" w:firstColumn="0" w:lastColumn="0" w:oddVBand="0" w:evenVBand="0" w:oddHBand="0" w:evenHBand="1" w:firstRowFirstColumn="0" w:firstRowLastColumn="0" w:lastRowFirstColumn="0" w:lastRowLastColumn="0"/>
          <w:trHeight w:val="251"/>
        </w:trPr>
        <w:tc>
          <w:tcPr>
            <w:tcW w:w="1053" w:type="pct"/>
          </w:tcPr>
          <w:p w14:paraId="14872942" w14:textId="77777777" w:rsidR="00D42B95" w:rsidRPr="00D42B95" w:rsidRDefault="00D42B95" w:rsidP="00085A3D">
            <w:pPr>
              <w:pStyle w:val="Tabellentext"/>
            </w:pPr>
            <w:r w:rsidRPr="00D42B95">
              <w:t>Muta. 1A</w:t>
            </w:r>
          </w:p>
        </w:tc>
        <w:tc>
          <w:tcPr>
            <w:tcW w:w="973" w:type="pct"/>
          </w:tcPr>
          <w:p w14:paraId="20469854" w14:textId="77777777" w:rsidR="00D42B95" w:rsidRPr="00D42B95" w:rsidRDefault="00D42B95" w:rsidP="00085A3D">
            <w:pPr>
              <w:pStyle w:val="Tabellentext"/>
            </w:pPr>
            <w:r w:rsidRPr="00D42B95">
              <w:t>H340</w:t>
            </w:r>
          </w:p>
        </w:tc>
        <w:tc>
          <w:tcPr>
            <w:tcW w:w="2974" w:type="pct"/>
          </w:tcPr>
          <w:p w14:paraId="4F4E8FB4" w14:textId="77777777" w:rsidR="00D42B95" w:rsidRPr="00D42B95" w:rsidRDefault="00D42B95" w:rsidP="00085A3D">
            <w:pPr>
              <w:pStyle w:val="Tabellentext"/>
            </w:pPr>
            <w:r w:rsidRPr="00D42B95">
              <w:t>Kann genetische Defekte verursachen.</w:t>
            </w:r>
          </w:p>
        </w:tc>
      </w:tr>
      <w:tr w:rsidR="00D42B95" w:rsidRPr="00D42B95" w14:paraId="0A3EA909" w14:textId="77777777" w:rsidTr="000D61C9">
        <w:trPr>
          <w:trHeight w:val="265"/>
        </w:trPr>
        <w:tc>
          <w:tcPr>
            <w:tcW w:w="1053" w:type="pct"/>
          </w:tcPr>
          <w:p w14:paraId="5748D54B" w14:textId="77777777" w:rsidR="00D42B95" w:rsidRPr="00D42B95" w:rsidRDefault="00D42B95" w:rsidP="00085A3D">
            <w:pPr>
              <w:pStyle w:val="Tabellentext"/>
              <w:rPr>
                <w:b/>
              </w:rPr>
            </w:pPr>
            <w:r w:rsidRPr="00D42B95">
              <w:t>Muta. 1B</w:t>
            </w:r>
          </w:p>
        </w:tc>
        <w:tc>
          <w:tcPr>
            <w:tcW w:w="973" w:type="pct"/>
          </w:tcPr>
          <w:p w14:paraId="202B8AAB" w14:textId="77777777" w:rsidR="00D42B95" w:rsidRPr="00D42B95" w:rsidRDefault="00D42B95" w:rsidP="00085A3D">
            <w:pPr>
              <w:pStyle w:val="Tabellentext"/>
              <w:rPr>
                <w:b/>
              </w:rPr>
            </w:pPr>
            <w:r w:rsidRPr="00D42B95">
              <w:t>H340</w:t>
            </w:r>
          </w:p>
        </w:tc>
        <w:tc>
          <w:tcPr>
            <w:tcW w:w="2974" w:type="pct"/>
          </w:tcPr>
          <w:p w14:paraId="41739597" w14:textId="77777777" w:rsidR="00D42B95" w:rsidRPr="00D42B95" w:rsidRDefault="00D42B95" w:rsidP="00085A3D">
            <w:pPr>
              <w:pStyle w:val="Tabellentext"/>
              <w:rPr>
                <w:b/>
              </w:rPr>
            </w:pPr>
            <w:r w:rsidRPr="00D42B95">
              <w:t>Kann genetische Defekte verursachen.</w:t>
            </w:r>
          </w:p>
        </w:tc>
      </w:tr>
      <w:tr w:rsidR="00D42B95" w:rsidRPr="00D42B95" w14:paraId="6AB2D62B"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5000" w:type="pct"/>
            <w:gridSpan w:val="3"/>
          </w:tcPr>
          <w:p w14:paraId="20E77651" w14:textId="77777777" w:rsidR="00D42B95" w:rsidRPr="00D42B95" w:rsidRDefault="00D42B95" w:rsidP="00085A3D">
            <w:pPr>
              <w:pStyle w:val="Tabellentextfett"/>
            </w:pPr>
            <w:r w:rsidRPr="00D42B95">
              <w:t>reproduktionstoxische (fortpflanzungsgefährdende) Stoffe</w:t>
            </w:r>
          </w:p>
        </w:tc>
      </w:tr>
      <w:tr w:rsidR="00D42B95" w:rsidRPr="00D42B95" w14:paraId="5A58781F" w14:textId="77777777" w:rsidTr="000D61C9">
        <w:trPr>
          <w:trHeight w:val="265"/>
        </w:trPr>
        <w:tc>
          <w:tcPr>
            <w:tcW w:w="1053" w:type="pct"/>
          </w:tcPr>
          <w:p w14:paraId="69CF1A2B" w14:textId="77777777" w:rsidR="00D42B95" w:rsidRPr="00D42B95" w:rsidRDefault="00D42B95" w:rsidP="00085A3D">
            <w:pPr>
              <w:pStyle w:val="Tabellentext"/>
            </w:pPr>
            <w:r w:rsidRPr="00D42B95">
              <w:t>Repr. 1A, 1B</w:t>
            </w:r>
          </w:p>
        </w:tc>
        <w:tc>
          <w:tcPr>
            <w:tcW w:w="973" w:type="pct"/>
          </w:tcPr>
          <w:p w14:paraId="492BC8B3" w14:textId="77777777" w:rsidR="00D42B95" w:rsidRPr="00D42B95" w:rsidRDefault="00D42B95" w:rsidP="00085A3D">
            <w:pPr>
              <w:pStyle w:val="Tabellentext"/>
            </w:pPr>
            <w:r w:rsidRPr="00D42B95">
              <w:t>H360D</w:t>
            </w:r>
          </w:p>
        </w:tc>
        <w:tc>
          <w:tcPr>
            <w:tcW w:w="2974" w:type="pct"/>
          </w:tcPr>
          <w:p w14:paraId="2FBF5624" w14:textId="77777777" w:rsidR="00D42B95" w:rsidRPr="00D42B95" w:rsidRDefault="00D42B95" w:rsidP="00085A3D">
            <w:pPr>
              <w:pStyle w:val="Tabellentext"/>
            </w:pPr>
            <w:r w:rsidRPr="00D42B95">
              <w:t>Kann das Kind im Mutterleib schädigen.</w:t>
            </w:r>
          </w:p>
        </w:tc>
      </w:tr>
      <w:tr w:rsidR="00D42B95" w:rsidRPr="00D42B95" w14:paraId="6F7EFFEF"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tcPr>
          <w:p w14:paraId="0F051D53" w14:textId="77777777" w:rsidR="00D42B95" w:rsidRPr="00D42B95" w:rsidRDefault="00D42B95" w:rsidP="00085A3D">
            <w:pPr>
              <w:pStyle w:val="Tabellentext"/>
            </w:pPr>
            <w:r w:rsidRPr="00D42B95">
              <w:t>Repr. 1A, 1B</w:t>
            </w:r>
          </w:p>
        </w:tc>
        <w:tc>
          <w:tcPr>
            <w:tcW w:w="973" w:type="pct"/>
          </w:tcPr>
          <w:p w14:paraId="5242A762" w14:textId="77777777" w:rsidR="00D42B95" w:rsidRPr="00D42B95" w:rsidRDefault="00D42B95" w:rsidP="00085A3D">
            <w:pPr>
              <w:pStyle w:val="Tabellentext"/>
            </w:pPr>
            <w:r w:rsidRPr="00D42B95">
              <w:t>H360F</w:t>
            </w:r>
          </w:p>
        </w:tc>
        <w:tc>
          <w:tcPr>
            <w:tcW w:w="2974" w:type="pct"/>
          </w:tcPr>
          <w:p w14:paraId="621C3736" w14:textId="77777777" w:rsidR="00D42B95" w:rsidRPr="00D42B95" w:rsidRDefault="00D42B95" w:rsidP="00085A3D">
            <w:pPr>
              <w:pStyle w:val="Tabellentext"/>
            </w:pPr>
            <w:r w:rsidRPr="00D42B95">
              <w:t>Kann die Fruchtbarkeit beeinträchtigen.</w:t>
            </w:r>
          </w:p>
        </w:tc>
      </w:tr>
      <w:tr w:rsidR="00D42B95" w:rsidRPr="00D42B95" w14:paraId="34C3C74B" w14:textId="77777777" w:rsidTr="000D61C9">
        <w:trPr>
          <w:trHeight w:val="265"/>
        </w:trPr>
        <w:tc>
          <w:tcPr>
            <w:tcW w:w="1053" w:type="pct"/>
            <w:vAlign w:val="center"/>
          </w:tcPr>
          <w:p w14:paraId="762D748C" w14:textId="77777777" w:rsidR="00D42B95" w:rsidRPr="00D42B95" w:rsidRDefault="00D42B95" w:rsidP="00085A3D">
            <w:pPr>
              <w:pStyle w:val="Tabellentext"/>
            </w:pPr>
            <w:r w:rsidRPr="00D42B95">
              <w:t>Repr. 1A, 1B</w:t>
            </w:r>
          </w:p>
        </w:tc>
        <w:tc>
          <w:tcPr>
            <w:tcW w:w="973" w:type="pct"/>
            <w:vAlign w:val="center"/>
          </w:tcPr>
          <w:p w14:paraId="48DD2176" w14:textId="77777777" w:rsidR="00D42B95" w:rsidRPr="00D42B95" w:rsidRDefault="00D42B95" w:rsidP="00085A3D">
            <w:pPr>
              <w:pStyle w:val="Tabellentext"/>
            </w:pPr>
            <w:r w:rsidRPr="00D42B95">
              <w:t>H360FD</w:t>
            </w:r>
          </w:p>
        </w:tc>
        <w:tc>
          <w:tcPr>
            <w:tcW w:w="2974" w:type="pct"/>
          </w:tcPr>
          <w:p w14:paraId="6659766B" w14:textId="77777777" w:rsidR="00D42B95" w:rsidRPr="00D42B95" w:rsidRDefault="00D42B95" w:rsidP="00085A3D">
            <w:pPr>
              <w:pStyle w:val="Tabellentext"/>
            </w:pPr>
            <w:r w:rsidRPr="00D42B95">
              <w:t>Kann die Fruchtbarkeit beeinträchtigen.</w:t>
            </w:r>
          </w:p>
          <w:p w14:paraId="1120DCD0" w14:textId="77777777" w:rsidR="00D42B95" w:rsidRPr="00D42B95" w:rsidRDefault="00D42B95" w:rsidP="00085A3D">
            <w:pPr>
              <w:pStyle w:val="Tabellentext"/>
            </w:pPr>
            <w:r w:rsidRPr="00D42B95">
              <w:t>Kann das Kind im Mutterleib schädigen.</w:t>
            </w:r>
          </w:p>
        </w:tc>
      </w:tr>
      <w:tr w:rsidR="00D42B95" w:rsidRPr="00D42B95" w14:paraId="6692F3AE"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vAlign w:val="center"/>
          </w:tcPr>
          <w:p w14:paraId="55C156C5" w14:textId="77777777" w:rsidR="00D42B95" w:rsidRPr="00D42B95" w:rsidRDefault="00D42B95" w:rsidP="00085A3D">
            <w:pPr>
              <w:pStyle w:val="Tabellentext"/>
            </w:pPr>
            <w:r w:rsidRPr="00D42B95">
              <w:t>Repr. 1A, 1B</w:t>
            </w:r>
          </w:p>
        </w:tc>
        <w:tc>
          <w:tcPr>
            <w:tcW w:w="973" w:type="pct"/>
            <w:vAlign w:val="center"/>
          </w:tcPr>
          <w:p w14:paraId="752AAB30" w14:textId="77777777" w:rsidR="00D42B95" w:rsidRPr="00D42B95" w:rsidRDefault="00D42B95" w:rsidP="00085A3D">
            <w:pPr>
              <w:pStyle w:val="Tabellentext"/>
            </w:pPr>
            <w:r w:rsidRPr="00D42B95">
              <w:t>H360Df</w:t>
            </w:r>
          </w:p>
        </w:tc>
        <w:tc>
          <w:tcPr>
            <w:tcW w:w="2974" w:type="pct"/>
          </w:tcPr>
          <w:p w14:paraId="00F658A9" w14:textId="77777777" w:rsidR="00D42B95" w:rsidRPr="00D42B95" w:rsidRDefault="00D42B95" w:rsidP="00085A3D">
            <w:pPr>
              <w:pStyle w:val="Tabellentext"/>
            </w:pPr>
            <w:r w:rsidRPr="00D42B95">
              <w:t>Kann das Kind im Mutterleib schädigen.</w:t>
            </w:r>
          </w:p>
          <w:p w14:paraId="05B40791" w14:textId="77777777" w:rsidR="00D42B95" w:rsidRPr="00D42B95" w:rsidRDefault="00D42B95" w:rsidP="00085A3D">
            <w:pPr>
              <w:pStyle w:val="Tabellentext"/>
            </w:pPr>
            <w:r w:rsidRPr="00D42B95">
              <w:t>Kann vermutlich die Fruchtbarkeit beeinträchtigen.</w:t>
            </w:r>
          </w:p>
        </w:tc>
      </w:tr>
      <w:tr w:rsidR="00D42B95" w:rsidRPr="00D42B95" w14:paraId="2ECD1CB0" w14:textId="77777777" w:rsidTr="000D61C9">
        <w:trPr>
          <w:trHeight w:val="265"/>
        </w:trPr>
        <w:tc>
          <w:tcPr>
            <w:tcW w:w="1053" w:type="pct"/>
            <w:vAlign w:val="center"/>
          </w:tcPr>
          <w:p w14:paraId="2E9B53C7" w14:textId="77777777" w:rsidR="00D42B95" w:rsidRPr="00D42B95" w:rsidRDefault="00D42B95" w:rsidP="00085A3D">
            <w:pPr>
              <w:pStyle w:val="Tabellentext"/>
            </w:pPr>
            <w:r w:rsidRPr="00D42B95">
              <w:t>Repr. 1A, 1B</w:t>
            </w:r>
          </w:p>
        </w:tc>
        <w:tc>
          <w:tcPr>
            <w:tcW w:w="973" w:type="pct"/>
            <w:vAlign w:val="center"/>
          </w:tcPr>
          <w:p w14:paraId="17E9D3A9" w14:textId="77777777" w:rsidR="00D42B95" w:rsidRPr="00D42B95" w:rsidRDefault="00D42B95" w:rsidP="00085A3D">
            <w:pPr>
              <w:pStyle w:val="Tabellentext"/>
            </w:pPr>
            <w:r w:rsidRPr="00D42B95">
              <w:t>H360Fd</w:t>
            </w:r>
          </w:p>
        </w:tc>
        <w:tc>
          <w:tcPr>
            <w:tcW w:w="2974" w:type="pct"/>
          </w:tcPr>
          <w:p w14:paraId="0069B01F" w14:textId="77777777" w:rsidR="00D42B95" w:rsidRPr="00D42B95" w:rsidRDefault="00D42B95" w:rsidP="00085A3D">
            <w:pPr>
              <w:pStyle w:val="Tabellentext"/>
            </w:pPr>
            <w:r w:rsidRPr="00D42B95">
              <w:t>Kann die Fruchtbarkeit beeinträchtigen.</w:t>
            </w:r>
          </w:p>
          <w:p w14:paraId="719651CD" w14:textId="77777777" w:rsidR="00D42B95" w:rsidRPr="00D42B95" w:rsidRDefault="00D42B95" w:rsidP="00085A3D">
            <w:pPr>
              <w:pStyle w:val="Tabellentext"/>
            </w:pPr>
            <w:r w:rsidRPr="00D42B95">
              <w:t>Kann vermutlich das Kind im Mutterleib schädigen.</w:t>
            </w:r>
          </w:p>
        </w:tc>
      </w:tr>
      <w:tr w:rsidR="00D42B95" w:rsidRPr="00D42B95" w14:paraId="57F3FEDE"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5000" w:type="pct"/>
            <w:gridSpan w:val="3"/>
            <w:vAlign w:val="center"/>
          </w:tcPr>
          <w:p w14:paraId="0DD24D81" w14:textId="77777777" w:rsidR="00D42B95" w:rsidRPr="00D42B95" w:rsidRDefault="00D42B95" w:rsidP="00085A3D">
            <w:pPr>
              <w:pStyle w:val="Tabellentextfett"/>
            </w:pPr>
            <w:r w:rsidRPr="00D42B95">
              <w:t>akut toxische Stoffe</w:t>
            </w:r>
          </w:p>
        </w:tc>
      </w:tr>
      <w:tr w:rsidR="00D42B95" w:rsidRPr="00D42B95" w14:paraId="263076C9" w14:textId="77777777" w:rsidTr="000D61C9">
        <w:trPr>
          <w:trHeight w:val="265"/>
        </w:trPr>
        <w:tc>
          <w:tcPr>
            <w:tcW w:w="1053" w:type="pct"/>
          </w:tcPr>
          <w:p w14:paraId="46855C8C" w14:textId="77777777" w:rsidR="00D42B95" w:rsidRPr="00D42B95" w:rsidRDefault="00D42B95" w:rsidP="00085A3D">
            <w:pPr>
              <w:pStyle w:val="Tabellentext"/>
            </w:pPr>
            <w:r w:rsidRPr="00D42B95">
              <w:t>Acute Tox. 1</w:t>
            </w:r>
          </w:p>
          <w:p w14:paraId="053C2ECB" w14:textId="77777777" w:rsidR="00D42B95" w:rsidRPr="00D42B95" w:rsidRDefault="00D42B95" w:rsidP="00085A3D">
            <w:pPr>
              <w:pStyle w:val="Tabellentext"/>
            </w:pPr>
            <w:r w:rsidRPr="00D42B95">
              <w:t>Acute Tox. 2</w:t>
            </w:r>
          </w:p>
        </w:tc>
        <w:tc>
          <w:tcPr>
            <w:tcW w:w="973" w:type="pct"/>
            <w:vAlign w:val="center"/>
          </w:tcPr>
          <w:p w14:paraId="70DBE39B" w14:textId="77777777" w:rsidR="00D42B95" w:rsidRPr="00D42B95" w:rsidRDefault="00D42B95" w:rsidP="00085A3D">
            <w:pPr>
              <w:pStyle w:val="Tabellentext"/>
            </w:pPr>
            <w:r w:rsidRPr="00D42B95">
              <w:t>H300</w:t>
            </w:r>
          </w:p>
        </w:tc>
        <w:tc>
          <w:tcPr>
            <w:tcW w:w="2974" w:type="pct"/>
            <w:vAlign w:val="center"/>
          </w:tcPr>
          <w:p w14:paraId="3EB7A48C" w14:textId="77777777" w:rsidR="00D42B95" w:rsidRPr="00D42B95" w:rsidRDefault="00D42B95" w:rsidP="00085A3D">
            <w:pPr>
              <w:pStyle w:val="Tabellentext"/>
            </w:pPr>
            <w:r w:rsidRPr="00D42B95">
              <w:t>Lebensgefahr bei Verschlucken</w:t>
            </w:r>
          </w:p>
        </w:tc>
      </w:tr>
      <w:tr w:rsidR="00D42B95" w:rsidRPr="00D42B95" w14:paraId="0CD37923"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tcPr>
          <w:p w14:paraId="2C49D463" w14:textId="77777777" w:rsidR="00D42B95" w:rsidRPr="00D42B95" w:rsidRDefault="00D42B95" w:rsidP="00085A3D">
            <w:pPr>
              <w:pStyle w:val="Tabellentext"/>
            </w:pPr>
            <w:r w:rsidRPr="00D42B95">
              <w:t>Acute Tox. 1</w:t>
            </w:r>
          </w:p>
          <w:p w14:paraId="2765ABDD" w14:textId="77777777" w:rsidR="00D42B95" w:rsidRPr="00D42B95" w:rsidRDefault="00D42B95" w:rsidP="00085A3D">
            <w:pPr>
              <w:pStyle w:val="Tabellentext"/>
            </w:pPr>
            <w:r w:rsidRPr="00D42B95">
              <w:t>Acute Tox. 2</w:t>
            </w:r>
          </w:p>
        </w:tc>
        <w:tc>
          <w:tcPr>
            <w:tcW w:w="973" w:type="pct"/>
            <w:vAlign w:val="center"/>
          </w:tcPr>
          <w:p w14:paraId="027F0538" w14:textId="77777777" w:rsidR="00D42B95" w:rsidRPr="00D42B95" w:rsidRDefault="00D42B95" w:rsidP="00085A3D">
            <w:pPr>
              <w:pStyle w:val="Tabellentext"/>
            </w:pPr>
            <w:r w:rsidRPr="00D42B95">
              <w:t>H310</w:t>
            </w:r>
          </w:p>
        </w:tc>
        <w:tc>
          <w:tcPr>
            <w:tcW w:w="2974" w:type="pct"/>
            <w:vAlign w:val="center"/>
          </w:tcPr>
          <w:p w14:paraId="5DF7F734" w14:textId="77777777" w:rsidR="00D42B95" w:rsidRPr="00D42B95" w:rsidRDefault="00D42B95" w:rsidP="00085A3D">
            <w:pPr>
              <w:pStyle w:val="Tabellentext"/>
            </w:pPr>
            <w:r w:rsidRPr="00D42B95">
              <w:t>Lebensgefahr bei Hautkontakt</w:t>
            </w:r>
          </w:p>
        </w:tc>
      </w:tr>
      <w:tr w:rsidR="00D42B95" w:rsidRPr="00D42B95" w14:paraId="55BFC8B1" w14:textId="77777777" w:rsidTr="000D61C9">
        <w:trPr>
          <w:trHeight w:val="265"/>
        </w:trPr>
        <w:tc>
          <w:tcPr>
            <w:tcW w:w="1053" w:type="pct"/>
          </w:tcPr>
          <w:p w14:paraId="27DAE5C5" w14:textId="77777777" w:rsidR="00D42B95" w:rsidRPr="00D42B95" w:rsidRDefault="00D42B95" w:rsidP="00085A3D">
            <w:pPr>
              <w:pStyle w:val="Tabellentext"/>
            </w:pPr>
            <w:r w:rsidRPr="00D42B95">
              <w:t>Acute Tox. 1</w:t>
            </w:r>
          </w:p>
          <w:p w14:paraId="13AD76EF" w14:textId="77777777" w:rsidR="00D42B95" w:rsidRPr="00D42B95" w:rsidRDefault="00D42B95" w:rsidP="00085A3D">
            <w:pPr>
              <w:pStyle w:val="Tabellentext"/>
            </w:pPr>
            <w:r w:rsidRPr="00D42B95">
              <w:t>Acute Tox. 2</w:t>
            </w:r>
          </w:p>
        </w:tc>
        <w:tc>
          <w:tcPr>
            <w:tcW w:w="973" w:type="pct"/>
            <w:vAlign w:val="center"/>
          </w:tcPr>
          <w:p w14:paraId="00B8636E" w14:textId="77777777" w:rsidR="00D42B95" w:rsidRPr="00D42B95" w:rsidRDefault="00D42B95" w:rsidP="00085A3D">
            <w:pPr>
              <w:pStyle w:val="Tabellentext"/>
            </w:pPr>
            <w:r w:rsidRPr="00D42B95">
              <w:t>H330</w:t>
            </w:r>
          </w:p>
        </w:tc>
        <w:tc>
          <w:tcPr>
            <w:tcW w:w="2974" w:type="pct"/>
            <w:vAlign w:val="center"/>
          </w:tcPr>
          <w:p w14:paraId="3CCB13B5" w14:textId="77777777" w:rsidR="00D42B95" w:rsidRPr="00D42B95" w:rsidRDefault="00D42B95" w:rsidP="00085A3D">
            <w:pPr>
              <w:pStyle w:val="Tabellentext"/>
            </w:pPr>
            <w:r w:rsidRPr="00D42B95">
              <w:t>Lebensgefahr bei Einatmen</w:t>
            </w:r>
          </w:p>
        </w:tc>
      </w:tr>
      <w:tr w:rsidR="00D42B95" w:rsidRPr="00D42B95" w14:paraId="73ADF54E"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5000" w:type="pct"/>
            <w:gridSpan w:val="3"/>
          </w:tcPr>
          <w:p w14:paraId="39830D9C" w14:textId="77777777" w:rsidR="00D42B95" w:rsidRPr="00D42B95" w:rsidRDefault="00D42B95" w:rsidP="00085A3D">
            <w:pPr>
              <w:pStyle w:val="Tabellentextfett"/>
            </w:pPr>
            <w:r w:rsidRPr="00D42B95">
              <w:t>Stoffe mit spezifischer Zielorgan-Toxizität</w:t>
            </w:r>
          </w:p>
        </w:tc>
      </w:tr>
      <w:tr w:rsidR="00D42B95" w:rsidRPr="00D42B95" w14:paraId="03D5B629" w14:textId="77777777" w:rsidTr="000D61C9">
        <w:trPr>
          <w:trHeight w:val="265"/>
        </w:trPr>
        <w:tc>
          <w:tcPr>
            <w:tcW w:w="1053" w:type="pct"/>
          </w:tcPr>
          <w:p w14:paraId="73A8B728" w14:textId="77777777" w:rsidR="00D42B95" w:rsidRPr="00D42B95" w:rsidRDefault="00D42B95" w:rsidP="00085A3D">
            <w:pPr>
              <w:pStyle w:val="Tabellentext"/>
            </w:pPr>
            <w:r w:rsidRPr="00D42B95">
              <w:t>STOT SE 1</w:t>
            </w:r>
          </w:p>
        </w:tc>
        <w:tc>
          <w:tcPr>
            <w:tcW w:w="973" w:type="pct"/>
          </w:tcPr>
          <w:p w14:paraId="2A876342" w14:textId="77777777" w:rsidR="00D42B95" w:rsidRPr="00D42B95" w:rsidRDefault="00D42B95" w:rsidP="00085A3D">
            <w:pPr>
              <w:pStyle w:val="Tabellentext"/>
            </w:pPr>
            <w:r w:rsidRPr="00D42B95">
              <w:t>H370</w:t>
            </w:r>
          </w:p>
        </w:tc>
        <w:tc>
          <w:tcPr>
            <w:tcW w:w="2974" w:type="pct"/>
          </w:tcPr>
          <w:p w14:paraId="26F799D8" w14:textId="77777777" w:rsidR="00D42B95" w:rsidRPr="00D42B95" w:rsidRDefault="00D42B95" w:rsidP="00085A3D">
            <w:pPr>
              <w:pStyle w:val="Tabellentext"/>
            </w:pPr>
            <w:r w:rsidRPr="00D42B95">
              <w:t>Schädigt die Organe.</w:t>
            </w:r>
          </w:p>
        </w:tc>
      </w:tr>
      <w:tr w:rsidR="00D42B95" w:rsidRPr="00D42B95" w14:paraId="00B7C02E"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vAlign w:val="center"/>
          </w:tcPr>
          <w:p w14:paraId="38B9E955" w14:textId="77777777" w:rsidR="00D42B95" w:rsidRPr="00D42B95" w:rsidRDefault="00D42B95" w:rsidP="00085A3D">
            <w:pPr>
              <w:pStyle w:val="Tabellentext"/>
            </w:pPr>
            <w:r w:rsidRPr="00D42B95">
              <w:t>STOT RE 1*</w:t>
            </w:r>
          </w:p>
        </w:tc>
        <w:tc>
          <w:tcPr>
            <w:tcW w:w="973" w:type="pct"/>
            <w:vAlign w:val="center"/>
          </w:tcPr>
          <w:p w14:paraId="4F3942B0" w14:textId="77777777" w:rsidR="00D42B95" w:rsidRPr="00D42B95" w:rsidRDefault="00D42B95" w:rsidP="00085A3D">
            <w:pPr>
              <w:pStyle w:val="Tabellentext"/>
            </w:pPr>
            <w:r w:rsidRPr="00D42B95">
              <w:t>H372</w:t>
            </w:r>
          </w:p>
        </w:tc>
        <w:tc>
          <w:tcPr>
            <w:tcW w:w="2974" w:type="pct"/>
          </w:tcPr>
          <w:p w14:paraId="62C0277D" w14:textId="77777777" w:rsidR="00D42B95" w:rsidRPr="00D42B95" w:rsidRDefault="00D42B95" w:rsidP="00085A3D">
            <w:pPr>
              <w:pStyle w:val="Tabellentext"/>
            </w:pPr>
            <w:r w:rsidRPr="00D42B95">
              <w:t>Schädigt die Organe bei längerer oder wiederholter Exposition.</w:t>
            </w:r>
          </w:p>
        </w:tc>
      </w:tr>
      <w:tr w:rsidR="00D42B95" w:rsidRPr="00D42B95" w14:paraId="5083553C" w14:textId="77777777" w:rsidTr="000D61C9">
        <w:trPr>
          <w:trHeight w:val="265"/>
        </w:trPr>
        <w:tc>
          <w:tcPr>
            <w:tcW w:w="5000" w:type="pct"/>
            <w:gridSpan w:val="3"/>
            <w:vAlign w:val="center"/>
          </w:tcPr>
          <w:p w14:paraId="2454490E" w14:textId="77777777" w:rsidR="00D42B95" w:rsidRPr="00D42B95" w:rsidRDefault="00D42B95" w:rsidP="00085A3D">
            <w:pPr>
              <w:pStyle w:val="Tabellentextfett"/>
            </w:pPr>
            <w:r w:rsidRPr="00D42B95">
              <w:t>umweltgefährdende Stoffe</w:t>
            </w:r>
          </w:p>
        </w:tc>
      </w:tr>
      <w:tr w:rsidR="00D42B95" w:rsidRPr="00D42B95" w14:paraId="61895A69"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tcPr>
          <w:p w14:paraId="5969B826" w14:textId="77777777" w:rsidR="00D42B95" w:rsidRPr="00D42B95" w:rsidRDefault="00D42B95" w:rsidP="00085A3D">
            <w:pPr>
              <w:pStyle w:val="Tabellentext"/>
            </w:pPr>
            <w:r w:rsidRPr="00D42B95">
              <w:t>Aquatic acute 1</w:t>
            </w:r>
          </w:p>
        </w:tc>
        <w:tc>
          <w:tcPr>
            <w:tcW w:w="973" w:type="pct"/>
          </w:tcPr>
          <w:p w14:paraId="47CA67C4" w14:textId="77777777" w:rsidR="00D42B95" w:rsidRPr="00D42B95" w:rsidRDefault="00D42B95" w:rsidP="00085A3D">
            <w:pPr>
              <w:pStyle w:val="Tabellentext"/>
            </w:pPr>
            <w:r w:rsidRPr="00D42B95">
              <w:t>H400</w:t>
            </w:r>
          </w:p>
        </w:tc>
        <w:tc>
          <w:tcPr>
            <w:tcW w:w="2974" w:type="pct"/>
          </w:tcPr>
          <w:p w14:paraId="3AFB9B80" w14:textId="77777777" w:rsidR="00D42B95" w:rsidRPr="00D42B95" w:rsidRDefault="00D42B95" w:rsidP="00085A3D">
            <w:pPr>
              <w:pStyle w:val="Tabellentext"/>
            </w:pPr>
            <w:r w:rsidRPr="00D42B95">
              <w:t>Sehr giftig für Wasserorganismen.</w:t>
            </w:r>
          </w:p>
        </w:tc>
      </w:tr>
      <w:tr w:rsidR="00D42B95" w:rsidRPr="00D42B95" w14:paraId="51C0DB98" w14:textId="77777777" w:rsidTr="000D61C9">
        <w:trPr>
          <w:trHeight w:val="265"/>
        </w:trPr>
        <w:tc>
          <w:tcPr>
            <w:tcW w:w="1053" w:type="pct"/>
          </w:tcPr>
          <w:p w14:paraId="6D5E50F9" w14:textId="77777777" w:rsidR="00D42B95" w:rsidRPr="00D42B95" w:rsidRDefault="00D42B95" w:rsidP="00085A3D">
            <w:pPr>
              <w:pStyle w:val="Tabellentext"/>
            </w:pPr>
            <w:r w:rsidRPr="00D42B95">
              <w:lastRenderedPageBreak/>
              <w:t>Aquatic chronic 1</w:t>
            </w:r>
          </w:p>
        </w:tc>
        <w:tc>
          <w:tcPr>
            <w:tcW w:w="973" w:type="pct"/>
            <w:vAlign w:val="center"/>
          </w:tcPr>
          <w:p w14:paraId="565550B3" w14:textId="77777777" w:rsidR="00D42B95" w:rsidRPr="00D42B95" w:rsidRDefault="00D42B95" w:rsidP="00085A3D">
            <w:pPr>
              <w:pStyle w:val="Tabellentext"/>
            </w:pPr>
            <w:r w:rsidRPr="00D42B95">
              <w:t>H410</w:t>
            </w:r>
          </w:p>
        </w:tc>
        <w:tc>
          <w:tcPr>
            <w:tcW w:w="2974" w:type="pct"/>
          </w:tcPr>
          <w:p w14:paraId="2205C0C4" w14:textId="77777777" w:rsidR="00D42B95" w:rsidRPr="00D42B95" w:rsidRDefault="00D42B95" w:rsidP="00085A3D">
            <w:pPr>
              <w:pStyle w:val="Tabellentext"/>
            </w:pPr>
            <w:r w:rsidRPr="00D42B95">
              <w:t>Sehr giftig für Wasserorganismen, mit langfristiger Wirkung.</w:t>
            </w:r>
          </w:p>
        </w:tc>
      </w:tr>
      <w:tr w:rsidR="00D42B95" w:rsidRPr="00D42B95" w14:paraId="05086DAB" w14:textId="77777777" w:rsidTr="00D42B95">
        <w:trPr>
          <w:cnfStyle w:val="000000010000" w:firstRow="0" w:lastRow="0" w:firstColumn="0" w:lastColumn="0" w:oddVBand="0" w:evenVBand="0" w:oddHBand="0" w:evenHBand="1" w:firstRowFirstColumn="0" w:firstRowLastColumn="0" w:lastRowFirstColumn="0" w:lastRowLastColumn="0"/>
          <w:trHeight w:val="265"/>
        </w:trPr>
        <w:tc>
          <w:tcPr>
            <w:tcW w:w="1053" w:type="pct"/>
          </w:tcPr>
          <w:p w14:paraId="6EB53F7E" w14:textId="77777777" w:rsidR="00D42B95" w:rsidRPr="00D42B95" w:rsidRDefault="00D42B95" w:rsidP="00085A3D">
            <w:pPr>
              <w:pStyle w:val="Tabellentext"/>
            </w:pPr>
            <w:r w:rsidRPr="00D42B95">
              <w:t>Aquatic chronic 2</w:t>
            </w:r>
          </w:p>
        </w:tc>
        <w:tc>
          <w:tcPr>
            <w:tcW w:w="973" w:type="pct"/>
            <w:vAlign w:val="center"/>
          </w:tcPr>
          <w:p w14:paraId="3A51A67B" w14:textId="77777777" w:rsidR="00D42B95" w:rsidRPr="00D42B95" w:rsidRDefault="00D42B95" w:rsidP="00085A3D">
            <w:pPr>
              <w:pStyle w:val="Tabellentext"/>
            </w:pPr>
            <w:r w:rsidRPr="00D42B95">
              <w:t>H411</w:t>
            </w:r>
          </w:p>
        </w:tc>
        <w:tc>
          <w:tcPr>
            <w:tcW w:w="2974" w:type="pct"/>
            <w:vAlign w:val="center"/>
          </w:tcPr>
          <w:p w14:paraId="696C9120" w14:textId="77777777" w:rsidR="00D42B95" w:rsidRPr="00D42B95" w:rsidRDefault="00D42B95" w:rsidP="00085A3D">
            <w:pPr>
              <w:pStyle w:val="Tabellentext"/>
            </w:pPr>
            <w:r w:rsidRPr="00D42B95">
              <w:t>Giftig für Wasserorganismen, mit langfristiger Wirkung.</w:t>
            </w:r>
          </w:p>
        </w:tc>
      </w:tr>
      <w:tr w:rsidR="00D42B95" w:rsidRPr="00D42B95" w14:paraId="2DBEE5CC" w14:textId="77777777" w:rsidTr="000D61C9">
        <w:trPr>
          <w:trHeight w:val="265"/>
        </w:trPr>
        <w:tc>
          <w:tcPr>
            <w:tcW w:w="1053" w:type="pct"/>
          </w:tcPr>
          <w:p w14:paraId="2F63E1F5" w14:textId="77777777" w:rsidR="00D42B95" w:rsidRPr="00D42B95" w:rsidRDefault="00D42B95" w:rsidP="00085A3D">
            <w:pPr>
              <w:pStyle w:val="Tabellentext"/>
            </w:pPr>
            <w:r w:rsidRPr="00D42B95">
              <w:t>Aquatic chronic 3</w:t>
            </w:r>
          </w:p>
        </w:tc>
        <w:tc>
          <w:tcPr>
            <w:tcW w:w="973" w:type="pct"/>
            <w:vAlign w:val="center"/>
          </w:tcPr>
          <w:p w14:paraId="25E04D9F" w14:textId="77777777" w:rsidR="00D42B95" w:rsidRPr="00D42B95" w:rsidRDefault="00D42B95" w:rsidP="00085A3D">
            <w:pPr>
              <w:pStyle w:val="Tabellentext"/>
            </w:pPr>
            <w:r w:rsidRPr="00D42B95">
              <w:t>H412</w:t>
            </w:r>
          </w:p>
        </w:tc>
        <w:tc>
          <w:tcPr>
            <w:tcW w:w="2974" w:type="pct"/>
            <w:vAlign w:val="center"/>
          </w:tcPr>
          <w:p w14:paraId="290E8988" w14:textId="77777777" w:rsidR="00D42B95" w:rsidRPr="00D42B95" w:rsidRDefault="00D42B95" w:rsidP="00085A3D">
            <w:pPr>
              <w:pStyle w:val="Tabellentext"/>
            </w:pPr>
            <w:r w:rsidRPr="00D42B95">
              <w:t>Schädlich für Wasserorganismen, mit langfristiger Wirkung</w:t>
            </w:r>
          </w:p>
        </w:tc>
      </w:tr>
    </w:tbl>
    <w:p w14:paraId="3F5EBCBE" w14:textId="697C8032" w:rsidR="00380147" w:rsidRDefault="00D63543" w:rsidP="00085A3D">
      <w:pPr>
        <w:pStyle w:val="Tabellen-undAbbildungsunterschrift"/>
      </w:pPr>
      <w:r w:rsidRPr="00D63543">
        <w:t xml:space="preserve">* Basiert die Einstufung und toxikologischen Begründung des Stoffes auf der Einstufung der lungengängigen Fraktion des Stoffes (Stäube) und bezieht sich nicht auf den Stoff generell, stellt die Einstufung als STOT RE 1 kein Ausschlusskriterium nach </w:t>
      </w:r>
      <w:r w:rsidR="005F2F2E">
        <w:t>Anforderung 1</w:t>
      </w:r>
      <w:r w:rsidRPr="00D63543">
        <w:t xml:space="preserve"> Ausschluss von Stoffen dar.</w:t>
      </w:r>
    </w:p>
    <w:p w14:paraId="684EF719" w14:textId="63198B48" w:rsidR="007C3041" w:rsidRPr="007C3041" w:rsidRDefault="007C3041" w:rsidP="00085A3D">
      <w:pPr>
        <w:pStyle w:val="Tabellen-undAbbildungsunterschrift"/>
      </w:pPr>
      <w:r w:rsidRPr="007C3041">
        <w:t>Quelle: Blauer Engel für emissionsarme Bodenbelagsklebstoffe und andere Verlegewerkstoffe (DE-UZ 113, Ausgabe Januar 2019)</w:t>
      </w:r>
    </w:p>
    <w:bookmarkEnd w:id="0"/>
    <w:bookmarkEnd w:id="2"/>
    <w:bookmarkEnd w:id="3"/>
    <w:p w14:paraId="548E4B30" w14:textId="467B4A48" w:rsidR="00D63543" w:rsidRDefault="00D63543">
      <w:pPr>
        <w:spacing w:after="0"/>
        <w:rPr>
          <w:rFonts w:ascii="Calibri" w:hAnsi="Calibri"/>
          <w:sz w:val="20"/>
        </w:rPr>
      </w:pPr>
      <w:r>
        <w:br w:type="page"/>
      </w:r>
    </w:p>
    <w:p w14:paraId="39899E20" w14:textId="4113D14D" w:rsidR="00D63543" w:rsidRDefault="00D63543" w:rsidP="00085A3D">
      <w:pPr>
        <w:pStyle w:val="berschrift1"/>
      </w:pPr>
      <w:r>
        <w:lastRenderedPageBreak/>
        <w:t>Anhang B: Liste der zulässigen Topfkonservierer</w:t>
      </w:r>
    </w:p>
    <w:p w14:paraId="02DD95BC" w14:textId="502D315B" w:rsidR="005B230D" w:rsidRDefault="00D63543" w:rsidP="00085A3D">
      <w:pPr>
        <w:pStyle w:val="Textkrper"/>
      </w:pPr>
      <w:r w:rsidRPr="00D63543">
        <w:t>Folgende Wirkstoffe bzw. Wirkstoffkombinationen können alternativ in der Summe von ≤ 400 ppm aus den Einzelwirkstoffen zur Topfkonservierung in emissionsarmen Bodenbelagsklebstoffen und anderen Verlegewerkstoffen verwendet werden. Weiter ist die Konservierung der Vorprodukte so zu dimensionieren, dass die Konservierung des Endproduktes dem Anhang B entspricht. Eine Kennzeichnung des Produktes mit H317 ist nicht zulässig.</w:t>
      </w:r>
    </w:p>
    <w:tbl>
      <w:tblPr>
        <w:tblStyle w:val="UBATabellenformatvorlage2"/>
        <w:tblW w:w="4940" w:type="pct"/>
        <w:tblLook w:val="0020" w:firstRow="1" w:lastRow="0" w:firstColumn="0" w:lastColumn="0" w:noHBand="0" w:noVBand="0"/>
      </w:tblPr>
      <w:tblGrid>
        <w:gridCol w:w="3174"/>
        <w:gridCol w:w="3175"/>
        <w:gridCol w:w="3173"/>
      </w:tblGrid>
      <w:tr w:rsidR="00D42B95" w:rsidRPr="00D42B95" w14:paraId="1257CD50" w14:textId="77777777" w:rsidTr="00D42B95">
        <w:trPr>
          <w:cnfStyle w:val="100000000000" w:firstRow="1" w:lastRow="0" w:firstColumn="0" w:lastColumn="0" w:oddVBand="0" w:evenVBand="0" w:oddHBand="0" w:evenHBand="0" w:firstRowFirstColumn="0" w:firstRowLastColumn="0" w:lastRowFirstColumn="0" w:lastRowLastColumn="0"/>
          <w:trHeight w:val="170"/>
        </w:trPr>
        <w:tc>
          <w:tcPr>
            <w:tcW w:w="1667" w:type="pct"/>
          </w:tcPr>
          <w:p w14:paraId="3E671B2C" w14:textId="77777777" w:rsidR="00D42B95" w:rsidRPr="00D42B95" w:rsidRDefault="00D42B95" w:rsidP="00085A3D">
            <w:pPr>
              <w:pStyle w:val="Tabellentextfett"/>
            </w:pPr>
            <w:r w:rsidRPr="00D42B95">
              <w:t>Erlaubte Konservierungsmittel</w:t>
            </w:r>
          </w:p>
        </w:tc>
        <w:tc>
          <w:tcPr>
            <w:tcW w:w="1667" w:type="pct"/>
          </w:tcPr>
          <w:p w14:paraId="148A4519" w14:textId="77777777" w:rsidR="00D42B95" w:rsidRPr="00D42B95" w:rsidRDefault="00D42B95" w:rsidP="00085A3D">
            <w:pPr>
              <w:pStyle w:val="Tabellentextfett"/>
            </w:pPr>
            <w:r w:rsidRPr="00D42B95">
              <w:t>CAS-Nr.</w:t>
            </w:r>
          </w:p>
        </w:tc>
        <w:tc>
          <w:tcPr>
            <w:tcW w:w="1666" w:type="pct"/>
          </w:tcPr>
          <w:p w14:paraId="178988F5" w14:textId="77777777" w:rsidR="00D42B95" w:rsidRPr="00D42B95" w:rsidRDefault="00D42B95" w:rsidP="00085A3D">
            <w:pPr>
              <w:pStyle w:val="Tabellentextfett"/>
            </w:pPr>
            <w:r w:rsidRPr="00D42B95">
              <w:t>Gehalt [ppm]</w:t>
            </w:r>
          </w:p>
        </w:tc>
      </w:tr>
      <w:tr w:rsidR="00D42B95" w:rsidRPr="00D42B95" w14:paraId="3B3C95A8" w14:textId="77777777" w:rsidTr="000D61C9">
        <w:trPr>
          <w:trHeight w:val="110"/>
        </w:trPr>
        <w:tc>
          <w:tcPr>
            <w:tcW w:w="1667" w:type="pct"/>
          </w:tcPr>
          <w:p w14:paraId="4D6C3347" w14:textId="77777777" w:rsidR="00D42B95" w:rsidRPr="00D42B95" w:rsidRDefault="00D42B95" w:rsidP="00085A3D">
            <w:pPr>
              <w:pStyle w:val="Tabellentext"/>
            </w:pPr>
            <w:r w:rsidRPr="00D42B95">
              <w:t>DBDCB</w:t>
            </w:r>
          </w:p>
        </w:tc>
        <w:tc>
          <w:tcPr>
            <w:tcW w:w="1667" w:type="pct"/>
          </w:tcPr>
          <w:p w14:paraId="4AF813FE" w14:textId="77777777" w:rsidR="00D42B95" w:rsidRPr="00D42B95" w:rsidRDefault="00D42B95" w:rsidP="00085A3D">
            <w:pPr>
              <w:pStyle w:val="Tabellentext"/>
            </w:pPr>
            <w:r w:rsidRPr="00D42B95">
              <w:t>35691-65-7</w:t>
            </w:r>
          </w:p>
        </w:tc>
        <w:tc>
          <w:tcPr>
            <w:tcW w:w="1666" w:type="pct"/>
          </w:tcPr>
          <w:p w14:paraId="2A23D203" w14:textId="77777777" w:rsidR="00D42B95" w:rsidRPr="00D42B95" w:rsidRDefault="00D42B95" w:rsidP="00085A3D">
            <w:pPr>
              <w:pStyle w:val="Tabellentext"/>
            </w:pPr>
            <w:r w:rsidRPr="00D42B95">
              <w:t xml:space="preserve">400 </w:t>
            </w:r>
          </w:p>
        </w:tc>
      </w:tr>
      <w:tr w:rsidR="00D42B95" w:rsidRPr="00D42B95" w14:paraId="1196FBBC" w14:textId="77777777" w:rsidTr="00D42B95">
        <w:trPr>
          <w:cnfStyle w:val="000000010000" w:firstRow="0" w:lastRow="0" w:firstColumn="0" w:lastColumn="0" w:oddVBand="0" w:evenVBand="0" w:oddHBand="0" w:evenHBand="1" w:firstRowFirstColumn="0" w:firstRowLastColumn="0" w:lastRowFirstColumn="0" w:lastRowLastColumn="0"/>
          <w:trHeight w:val="110"/>
        </w:trPr>
        <w:tc>
          <w:tcPr>
            <w:tcW w:w="1667" w:type="pct"/>
          </w:tcPr>
          <w:p w14:paraId="1E461C55" w14:textId="77777777" w:rsidR="00D42B95" w:rsidRPr="00D42B95" w:rsidRDefault="00D42B95" w:rsidP="00085A3D">
            <w:pPr>
              <w:pStyle w:val="Tabellentext"/>
            </w:pPr>
            <w:r w:rsidRPr="00D42B95">
              <w:t>BIT</w:t>
            </w:r>
          </w:p>
        </w:tc>
        <w:tc>
          <w:tcPr>
            <w:tcW w:w="1667" w:type="pct"/>
          </w:tcPr>
          <w:p w14:paraId="02B9BB9B" w14:textId="77777777" w:rsidR="00D42B95" w:rsidRPr="00D42B95" w:rsidRDefault="00D42B95" w:rsidP="00085A3D">
            <w:pPr>
              <w:pStyle w:val="Tabellentext"/>
            </w:pPr>
            <w:r w:rsidRPr="00D42B95">
              <w:t>2634-33-5</w:t>
            </w:r>
          </w:p>
        </w:tc>
        <w:tc>
          <w:tcPr>
            <w:tcW w:w="1666" w:type="pct"/>
          </w:tcPr>
          <w:p w14:paraId="2A5ECACE" w14:textId="77777777" w:rsidR="00D42B95" w:rsidRPr="00D42B95" w:rsidRDefault="00D42B95" w:rsidP="00085A3D">
            <w:pPr>
              <w:pStyle w:val="Tabellentext"/>
            </w:pPr>
            <w:r w:rsidRPr="00D42B95">
              <w:t xml:space="preserve">400 </w:t>
            </w:r>
          </w:p>
        </w:tc>
      </w:tr>
      <w:tr w:rsidR="00D42B95" w:rsidRPr="00D42B95" w14:paraId="6F956BCA" w14:textId="77777777" w:rsidTr="000D61C9">
        <w:trPr>
          <w:trHeight w:val="264"/>
        </w:trPr>
        <w:tc>
          <w:tcPr>
            <w:tcW w:w="1667" w:type="pct"/>
          </w:tcPr>
          <w:p w14:paraId="68441CEF" w14:textId="77777777" w:rsidR="00D42B95" w:rsidRPr="00D42B95" w:rsidRDefault="00D42B95" w:rsidP="00085A3D">
            <w:pPr>
              <w:pStyle w:val="Tabellentext"/>
            </w:pPr>
            <w:r w:rsidRPr="00D42B95">
              <w:t>Bronopol</w:t>
            </w:r>
          </w:p>
        </w:tc>
        <w:tc>
          <w:tcPr>
            <w:tcW w:w="1667" w:type="pct"/>
          </w:tcPr>
          <w:p w14:paraId="1816DB29" w14:textId="77777777" w:rsidR="00D42B95" w:rsidRPr="00D42B95" w:rsidRDefault="00D42B95" w:rsidP="00085A3D">
            <w:pPr>
              <w:pStyle w:val="Tabellentext"/>
            </w:pPr>
            <w:r w:rsidRPr="00D42B95">
              <w:t>52-51-7</w:t>
            </w:r>
          </w:p>
        </w:tc>
        <w:tc>
          <w:tcPr>
            <w:tcW w:w="1666" w:type="pct"/>
          </w:tcPr>
          <w:p w14:paraId="3FE281AC" w14:textId="77777777" w:rsidR="00D42B95" w:rsidRPr="00D42B95" w:rsidRDefault="00D42B95" w:rsidP="00085A3D">
            <w:pPr>
              <w:pStyle w:val="Tabellentext"/>
            </w:pPr>
            <w:r w:rsidRPr="00D42B95">
              <w:t xml:space="preserve">200 </w:t>
            </w:r>
          </w:p>
        </w:tc>
      </w:tr>
      <w:tr w:rsidR="00D42B95" w:rsidRPr="00D42B95" w14:paraId="6BA7281D" w14:textId="77777777" w:rsidTr="00D42B95">
        <w:trPr>
          <w:cnfStyle w:val="000000010000" w:firstRow="0" w:lastRow="0" w:firstColumn="0" w:lastColumn="0" w:oddVBand="0" w:evenVBand="0" w:oddHBand="0" w:evenHBand="1" w:firstRowFirstColumn="0" w:firstRowLastColumn="0" w:lastRowFirstColumn="0" w:lastRowLastColumn="0"/>
          <w:trHeight w:val="264"/>
        </w:trPr>
        <w:tc>
          <w:tcPr>
            <w:tcW w:w="1667" w:type="pct"/>
          </w:tcPr>
          <w:p w14:paraId="52550916" w14:textId="77777777" w:rsidR="00D42B95" w:rsidRPr="00D42B95" w:rsidRDefault="00D42B95" w:rsidP="00085A3D">
            <w:pPr>
              <w:pStyle w:val="Tabellentext"/>
            </w:pPr>
            <w:r w:rsidRPr="00D42B95">
              <w:t>Natriumpyrithion</w:t>
            </w:r>
          </w:p>
        </w:tc>
        <w:tc>
          <w:tcPr>
            <w:tcW w:w="1667" w:type="pct"/>
          </w:tcPr>
          <w:p w14:paraId="234A6FA1" w14:textId="77777777" w:rsidR="00D42B95" w:rsidRPr="00D42B95" w:rsidRDefault="00D42B95" w:rsidP="00085A3D">
            <w:pPr>
              <w:pStyle w:val="Tabellentext"/>
            </w:pPr>
            <w:r w:rsidRPr="00D42B95">
              <w:t>3811-73-2</w:t>
            </w:r>
          </w:p>
        </w:tc>
        <w:tc>
          <w:tcPr>
            <w:tcW w:w="1666" w:type="pct"/>
          </w:tcPr>
          <w:p w14:paraId="79A936C5" w14:textId="77777777" w:rsidR="00D42B95" w:rsidRPr="00D42B95" w:rsidRDefault="00D42B95" w:rsidP="00085A3D">
            <w:pPr>
              <w:pStyle w:val="Tabellentext"/>
            </w:pPr>
            <w:r w:rsidRPr="00D42B95">
              <w:t>200</w:t>
            </w:r>
          </w:p>
        </w:tc>
      </w:tr>
      <w:tr w:rsidR="00D42B95" w:rsidRPr="00D42B95" w14:paraId="08504B07" w14:textId="77777777" w:rsidTr="000D61C9">
        <w:trPr>
          <w:trHeight w:val="264"/>
        </w:trPr>
        <w:tc>
          <w:tcPr>
            <w:tcW w:w="1667" w:type="pct"/>
          </w:tcPr>
          <w:p w14:paraId="06BAC6D1" w14:textId="77777777" w:rsidR="00D42B95" w:rsidRPr="00D42B95" w:rsidRDefault="00D42B95" w:rsidP="00085A3D">
            <w:pPr>
              <w:pStyle w:val="Tabellentext"/>
            </w:pPr>
            <w:r w:rsidRPr="00D42B95">
              <w:t>Zinkpyrithion</w:t>
            </w:r>
          </w:p>
        </w:tc>
        <w:tc>
          <w:tcPr>
            <w:tcW w:w="1667" w:type="pct"/>
          </w:tcPr>
          <w:p w14:paraId="4669F127" w14:textId="77777777" w:rsidR="00D42B95" w:rsidRPr="00D42B95" w:rsidRDefault="00D42B95" w:rsidP="00085A3D">
            <w:pPr>
              <w:pStyle w:val="Tabellentext"/>
            </w:pPr>
            <w:r w:rsidRPr="00D42B95">
              <w:t>13463-41-7</w:t>
            </w:r>
          </w:p>
        </w:tc>
        <w:tc>
          <w:tcPr>
            <w:tcW w:w="1666" w:type="pct"/>
          </w:tcPr>
          <w:p w14:paraId="69554BF8" w14:textId="77777777" w:rsidR="00D42B95" w:rsidRPr="00D42B95" w:rsidRDefault="00D42B95" w:rsidP="00085A3D">
            <w:pPr>
              <w:pStyle w:val="Tabellentext"/>
            </w:pPr>
            <w:r w:rsidRPr="00D42B95">
              <w:t>200</w:t>
            </w:r>
          </w:p>
        </w:tc>
      </w:tr>
      <w:tr w:rsidR="00D42B95" w:rsidRPr="00D42B95" w14:paraId="3E03F8AC" w14:textId="77777777" w:rsidTr="00D42B95">
        <w:trPr>
          <w:cnfStyle w:val="000000010000" w:firstRow="0" w:lastRow="0" w:firstColumn="0" w:lastColumn="0" w:oddVBand="0" w:evenVBand="0" w:oddHBand="0" w:evenHBand="1" w:firstRowFirstColumn="0" w:firstRowLastColumn="0" w:lastRowFirstColumn="0" w:lastRowLastColumn="0"/>
          <w:trHeight w:val="264"/>
        </w:trPr>
        <w:tc>
          <w:tcPr>
            <w:tcW w:w="1667" w:type="pct"/>
          </w:tcPr>
          <w:p w14:paraId="0B5B0E88" w14:textId="77777777" w:rsidR="00D42B95" w:rsidRPr="00D42B95" w:rsidRDefault="00D42B95" w:rsidP="00085A3D">
            <w:pPr>
              <w:pStyle w:val="Tabellentext"/>
            </w:pPr>
            <w:r w:rsidRPr="00D42B95">
              <w:t>Kombination CIT/MIT (3:1)</w:t>
            </w:r>
          </w:p>
        </w:tc>
        <w:tc>
          <w:tcPr>
            <w:tcW w:w="1667" w:type="pct"/>
          </w:tcPr>
          <w:p w14:paraId="3F4939B8" w14:textId="77777777" w:rsidR="00D42B95" w:rsidRPr="00D42B95" w:rsidRDefault="00D42B95" w:rsidP="00085A3D">
            <w:pPr>
              <w:pStyle w:val="Tabellentext"/>
            </w:pPr>
            <w:r w:rsidRPr="00D42B95">
              <w:t>55965-84-9</w:t>
            </w:r>
          </w:p>
        </w:tc>
        <w:tc>
          <w:tcPr>
            <w:tcW w:w="1666" w:type="pct"/>
          </w:tcPr>
          <w:p w14:paraId="7738182A" w14:textId="77777777" w:rsidR="00D42B95" w:rsidRPr="00D42B95" w:rsidRDefault="00D42B95" w:rsidP="00085A3D">
            <w:pPr>
              <w:pStyle w:val="Tabellentext"/>
            </w:pPr>
            <w:r w:rsidRPr="00D42B95">
              <w:t>Summe &lt; 15</w:t>
            </w:r>
          </w:p>
        </w:tc>
      </w:tr>
      <w:tr w:rsidR="00D42B95" w:rsidRPr="00D42B95" w14:paraId="6192C719" w14:textId="77777777" w:rsidTr="000D61C9">
        <w:trPr>
          <w:trHeight w:val="264"/>
        </w:trPr>
        <w:tc>
          <w:tcPr>
            <w:tcW w:w="1667" w:type="pct"/>
          </w:tcPr>
          <w:p w14:paraId="3967AA3D" w14:textId="77777777" w:rsidR="00D42B95" w:rsidRPr="00D42B95" w:rsidRDefault="00D42B95" w:rsidP="00085A3D">
            <w:pPr>
              <w:pStyle w:val="Tabellentext"/>
            </w:pPr>
            <w:r w:rsidRPr="00D42B95">
              <w:t>CIT</w:t>
            </w:r>
          </w:p>
        </w:tc>
        <w:tc>
          <w:tcPr>
            <w:tcW w:w="1667" w:type="pct"/>
          </w:tcPr>
          <w:p w14:paraId="58FAB223" w14:textId="77777777" w:rsidR="00D42B95" w:rsidRPr="00D42B95" w:rsidRDefault="00D42B95" w:rsidP="00085A3D">
            <w:pPr>
              <w:pStyle w:val="Tabellentext"/>
            </w:pPr>
            <w:r w:rsidRPr="00D42B95">
              <w:t>26172-55-4</w:t>
            </w:r>
          </w:p>
        </w:tc>
        <w:tc>
          <w:tcPr>
            <w:tcW w:w="1666" w:type="pct"/>
          </w:tcPr>
          <w:p w14:paraId="2490C999" w14:textId="77777777" w:rsidR="00D42B95" w:rsidRPr="00D42B95" w:rsidRDefault="00D42B95" w:rsidP="00085A3D">
            <w:pPr>
              <w:pStyle w:val="Tabellentext"/>
            </w:pPr>
          </w:p>
        </w:tc>
      </w:tr>
      <w:tr w:rsidR="00D42B95" w:rsidRPr="00D42B95" w14:paraId="6650EBAB" w14:textId="77777777" w:rsidTr="00D42B95">
        <w:trPr>
          <w:cnfStyle w:val="000000010000" w:firstRow="0" w:lastRow="0" w:firstColumn="0" w:lastColumn="0" w:oddVBand="0" w:evenVBand="0" w:oddHBand="0" w:evenHBand="1" w:firstRowFirstColumn="0" w:firstRowLastColumn="0" w:lastRowFirstColumn="0" w:lastRowLastColumn="0"/>
          <w:trHeight w:val="264"/>
        </w:trPr>
        <w:tc>
          <w:tcPr>
            <w:tcW w:w="1667" w:type="pct"/>
          </w:tcPr>
          <w:p w14:paraId="56ED0616" w14:textId="77777777" w:rsidR="00D42B95" w:rsidRPr="00D42B95" w:rsidRDefault="00D42B95" w:rsidP="00085A3D">
            <w:pPr>
              <w:pStyle w:val="Tabellentext"/>
            </w:pPr>
            <w:r w:rsidRPr="00D42B95">
              <w:t>TiO</w:t>
            </w:r>
            <w:r w:rsidRPr="00D42B95">
              <w:rPr>
                <w:vertAlign w:val="subscript"/>
              </w:rPr>
              <w:t>2</w:t>
            </w:r>
            <w:r w:rsidRPr="00D42B95">
              <w:t xml:space="preserve"> AgCl bezogen auf AgCl</w:t>
            </w:r>
          </w:p>
        </w:tc>
        <w:tc>
          <w:tcPr>
            <w:tcW w:w="1667" w:type="pct"/>
          </w:tcPr>
          <w:p w14:paraId="5E0F6B6F" w14:textId="77777777" w:rsidR="00D42B95" w:rsidRPr="00D42B95" w:rsidRDefault="00D42B95" w:rsidP="00085A3D">
            <w:pPr>
              <w:pStyle w:val="Tabellentext"/>
            </w:pPr>
            <w:r w:rsidRPr="00D42B95">
              <w:t>7783-90-6</w:t>
            </w:r>
          </w:p>
        </w:tc>
        <w:tc>
          <w:tcPr>
            <w:tcW w:w="1666" w:type="pct"/>
          </w:tcPr>
          <w:p w14:paraId="10995B51" w14:textId="77777777" w:rsidR="00D42B95" w:rsidRPr="00D42B95" w:rsidRDefault="00D42B95" w:rsidP="00085A3D">
            <w:pPr>
              <w:pStyle w:val="Tabellentext"/>
            </w:pPr>
            <w:r w:rsidRPr="00D42B95">
              <w:t>100</w:t>
            </w:r>
          </w:p>
        </w:tc>
      </w:tr>
      <w:tr w:rsidR="00D42B95" w:rsidRPr="00D42B95" w14:paraId="0BA0B8B4" w14:textId="77777777" w:rsidTr="000D61C9">
        <w:trPr>
          <w:trHeight w:val="264"/>
        </w:trPr>
        <w:tc>
          <w:tcPr>
            <w:tcW w:w="1667" w:type="pct"/>
          </w:tcPr>
          <w:p w14:paraId="496DF6A2" w14:textId="77777777" w:rsidR="00D42B95" w:rsidRPr="00D42B95" w:rsidRDefault="00D42B95" w:rsidP="00085A3D">
            <w:pPr>
              <w:pStyle w:val="Tabellentext"/>
            </w:pPr>
            <w:r w:rsidRPr="00D42B95">
              <w:t>IPBC</w:t>
            </w:r>
          </w:p>
        </w:tc>
        <w:tc>
          <w:tcPr>
            <w:tcW w:w="1667" w:type="pct"/>
          </w:tcPr>
          <w:p w14:paraId="1A9B73D4" w14:textId="77777777" w:rsidR="00D42B95" w:rsidRPr="00D42B95" w:rsidRDefault="00D42B95" w:rsidP="00085A3D">
            <w:pPr>
              <w:pStyle w:val="Tabellentext"/>
            </w:pPr>
            <w:r w:rsidRPr="00D42B95">
              <w:t>55406-53-6</w:t>
            </w:r>
          </w:p>
        </w:tc>
        <w:tc>
          <w:tcPr>
            <w:tcW w:w="1666" w:type="pct"/>
          </w:tcPr>
          <w:p w14:paraId="58B750B9" w14:textId="77777777" w:rsidR="00D42B95" w:rsidRPr="00D42B95" w:rsidRDefault="00D42B95" w:rsidP="00085A3D">
            <w:pPr>
              <w:pStyle w:val="Tabellentext"/>
            </w:pPr>
            <w:r w:rsidRPr="00D42B95">
              <w:t>80</w:t>
            </w:r>
          </w:p>
        </w:tc>
      </w:tr>
      <w:tr w:rsidR="00D42B95" w:rsidRPr="00D42B95" w14:paraId="6E9B2694" w14:textId="77777777" w:rsidTr="00D42B95">
        <w:trPr>
          <w:cnfStyle w:val="000000010000" w:firstRow="0" w:lastRow="0" w:firstColumn="0" w:lastColumn="0" w:oddVBand="0" w:evenVBand="0" w:oddHBand="0" w:evenHBand="1" w:firstRowFirstColumn="0" w:firstRowLastColumn="0" w:lastRowFirstColumn="0" w:lastRowLastColumn="0"/>
          <w:trHeight w:val="264"/>
        </w:trPr>
        <w:tc>
          <w:tcPr>
            <w:tcW w:w="1667" w:type="pct"/>
          </w:tcPr>
          <w:p w14:paraId="2FDA8FA8" w14:textId="77777777" w:rsidR="00D42B95" w:rsidRPr="00D42B95" w:rsidRDefault="00D42B95" w:rsidP="00085A3D">
            <w:pPr>
              <w:pStyle w:val="Tabellentextfett"/>
            </w:pPr>
            <w:r w:rsidRPr="00D42B95">
              <w:t>Nicht erlaubte Wirkstoffe</w:t>
            </w:r>
          </w:p>
          <w:p w14:paraId="6EC5F7B2" w14:textId="77777777" w:rsidR="00D42B95" w:rsidRPr="00D42B95" w:rsidRDefault="00D42B95" w:rsidP="00085A3D">
            <w:pPr>
              <w:pStyle w:val="Tabellentext"/>
            </w:pPr>
            <w:r w:rsidRPr="00D42B95">
              <w:t>Summe aus</w:t>
            </w:r>
          </w:p>
          <w:p w14:paraId="3BBC556F" w14:textId="77777777" w:rsidR="00D42B95" w:rsidRPr="00D42B95" w:rsidRDefault="00D42B95" w:rsidP="00085A3D">
            <w:pPr>
              <w:pStyle w:val="Tabellentext"/>
            </w:pPr>
            <w:r w:rsidRPr="00D42B95">
              <w:t>BBIT</w:t>
            </w:r>
          </w:p>
          <w:p w14:paraId="43266136" w14:textId="77777777" w:rsidR="00D42B95" w:rsidRPr="00D42B95" w:rsidRDefault="00D42B95" w:rsidP="00085A3D">
            <w:pPr>
              <w:pStyle w:val="Tabellentext"/>
            </w:pPr>
            <w:r w:rsidRPr="00D42B95">
              <w:t>MIT</w:t>
            </w:r>
          </w:p>
          <w:p w14:paraId="326C1EF2" w14:textId="77777777" w:rsidR="00D42B95" w:rsidRPr="00D42B95" w:rsidRDefault="00D42B95" w:rsidP="00085A3D">
            <w:pPr>
              <w:pStyle w:val="Tabellentext"/>
            </w:pPr>
            <w:r w:rsidRPr="00D42B95">
              <w:t>OIT</w:t>
            </w:r>
          </w:p>
          <w:p w14:paraId="78EC0AF1" w14:textId="77777777" w:rsidR="00D42B95" w:rsidRPr="00D42B95" w:rsidRDefault="00D42B95" w:rsidP="00085A3D">
            <w:pPr>
              <w:pStyle w:val="Tabellentext"/>
            </w:pPr>
            <w:r w:rsidRPr="00D42B95">
              <w:t>DTBMA</w:t>
            </w:r>
          </w:p>
        </w:tc>
        <w:tc>
          <w:tcPr>
            <w:tcW w:w="1667" w:type="pct"/>
          </w:tcPr>
          <w:p w14:paraId="126CC85F" w14:textId="77777777" w:rsidR="00D42B95" w:rsidRPr="00D42B95" w:rsidRDefault="00D42B95" w:rsidP="00085A3D">
            <w:pPr>
              <w:pStyle w:val="Tabellentext"/>
            </w:pPr>
          </w:p>
          <w:p w14:paraId="724FB20F" w14:textId="77777777" w:rsidR="00D42B95" w:rsidRPr="00D42B95" w:rsidRDefault="00D42B95" w:rsidP="00085A3D">
            <w:pPr>
              <w:pStyle w:val="Tabellentext"/>
            </w:pPr>
          </w:p>
          <w:p w14:paraId="766EE993" w14:textId="77777777" w:rsidR="00D42B95" w:rsidRPr="00D42B95" w:rsidRDefault="00D42B95" w:rsidP="00085A3D">
            <w:pPr>
              <w:pStyle w:val="Tabellentext"/>
            </w:pPr>
            <w:r w:rsidRPr="00D42B95">
              <w:t>4299-07-4</w:t>
            </w:r>
          </w:p>
          <w:p w14:paraId="18039D9F" w14:textId="77777777" w:rsidR="00D42B95" w:rsidRPr="00D42B95" w:rsidRDefault="00D42B95" w:rsidP="00085A3D">
            <w:pPr>
              <w:pStyle w:val="Tabellentext"/>
            </w:pPr>
            <w:r w:rsidRPr="00D42B95">
              <w:t>2682-20-4</w:t>
            </w:r>
          </w:p>
          <w:p w14:paraId="5DC2A1EB" w14:textId="77777777" w:rsidR="00D42B95" w:rsidRPr="00D42B95" w:rsidRDefault="00D42B95" w:rsidP="00085A3D">
            <w:pPr>
              <w:pStyle w:val="Tabellentext"/>
            </w:pPr>
            <w:r w:rsidRPr="00D42B95">
              <w:t>26530-20-1</w:t>
            </w:r>
          </w:p>
          <w:p w14:paraId="0ECAA750" w14:textId="77777777" w:rsidR="00D42B95" w:rsidRPr="00D42B95" w:rsidRDefault="00D42B95" w:rsidP="00085A3D">
            <w:pPr>
              <w:pStyle w:val="Tabellentext"/>
            </w:pPr>
            <w:r w:rsidRPr="00D42B95">
              <w:t>2527-58-4</w:t>
            </w:r>
          </w:p>
        </w:tc>
        <w:tc>
          <w:tcPr>
            <w:tcW w:w="1666" w:type="pct"/>
          </w:tcPr>
          <w:p w14:paraId="0F8173F8" w14:textId="77777777" w:rsidR="00D42B95" w:rsidRPr="00D42B95" w:rsidRDefault="00D42B95" w:rsidP="00085A3D">
            <w:pPr>
              <w:pStyle w:val="Tabellentext"/>
            </w:pPr>
          </w:p>
          <w:p w14:paraId="744AA4A4" w14:textId="77777777" w:rsidR="00D42B95" w:rsidRPr="00D42B95" w:rsidRDefault="00D42B95" w:rsidP="00085A3D">
            <w:pPr>
              <w:pStyle w:val="Tabellentext"/>
            </w:pPr>
            <w:r w:rsidRPr="00D42B95">
              <w:t>&lt; 15</w:t>
            </w:r>
          </w:p>
        </w:tc>
      </w:tr>
    </w:tbl>
    <w:p w14:paraId="71C136E5" w14:textId="1A8D92D1" w:rsidR="003268E2" w:rsidRDefault="003268E2" w:rsidP="00085A3D">
      <w:pPr>
        <w:pStyle w:val="Tabellen-undAbbildungsunterschrift"/>
      </w:pPr>
      <w:r>
        <w:t>Quelle: Blauer Engel</w:t>
      </w:r>
      <w:r w:rsidR="007C3041">
        <w:t xml:space="preserve"> für e</w:t>
      </w:r>
      <w:r>
        <w:t>missionsarme Bodenbelagsklebstoffe und andere Verlegewerkstoffe (DE-UZ 113, Ausgabe Januar 2019)</w:t>
      </w:r>
    </w:p>
    <w:p w14:paraId="78D89C5D" w14:textId="013EF6F5" w:rsidR="00D63543" w:rsidRPr="007C3041" w:rsidRDefault="003268E2" w:rsidP="00085A3D">
      <w:pPr>
        <w:pStyle w:val="Textkrper"/>
      </w:pPr>
      <w:r w:rsidRPr="007C3041">
        <w:t>Als Konservierungsmittel dürfen jedoch nur Substanzen (Wirkstoffe bzw. Biozide) eingesetzt werden, für die im Rahmen der Biozidprodukte-Verordnung (EU Nr. 528/2012) ein Wirkstoff-Dossier zur Bewertung als Topfkonservierungsmittel in der Produktart 6 eingereicht wurde. Wird nach erfolgter Bewertung eine Aufnahme des Wirkstoffes in die Unionsliste der genehmigten Wirkstoffe für die Produktart 6 abgelehnt, so ist die Verwendung dieser Substanzen nicht mehr zulässig.</w:t>
      </w:r>
    </w:p>
    <w:p w14:paraId="6794D2AB" w14:textId="5362D6C4" w:rsidR="003268E2" w:rsidRDefault="003268E2">
      <w:pPr>
        <w:spacing w:after="0"/>
        <w:rPr>
          <w:rFonts w:ascii="Calibri" w:hAnsi="Calibri"/>
          <w:sz w:val="20"/>
        </w:rPr>
      </w:pPr>
      <w:r>
        <w:br w:type="page"/>
      </w:r>
    </w:p>
    <w:p w14:paraId="2FDBA1EC" w14:textId="19F0028F" w:rsidR="003268E2" w:rsidRDefault="003268E2" w:rsidP="00085A3D">
      <w:pPr>
        <w:pStyle w:val="berschrift1"/>
      </w:pPr>
      <w:r>
        <w:lastRenderedPageBreak/>
        <w:t>Anhang C: Prüfverfahren für VOC-Emissionen</w:t>
      </w:r>
    </w:p>
    <w:p w14:paraId="17DFB639" w14:textId="77777777" w:rsidR="003268E2" w:rsidRDefault="003268E2" w:rsidP="00085A3D">
      <w:pPr>
        <w:pStyle w:val="Textkrper"/>
      </w:pPr>
      <w:r>
        <w:t>Verfahren zur Prüfung der Emission flüchtiger organischer Verbindungen gemäß Blauer Engel DE-UZ 113</w:t>
      </w:r>
    </w:p>
    <w:p w14:paraId="7C5E7A3A" w14:textId="77777777" w:rsidR="003268E2" w:rsidRDefault="003268E2" w:rsidP="00085A3D">
      <w:pPr>
        <w:pStyle w:val="Textkrper"/>
      </w:pPr>
      <w:r>
        <w:t>Das Verfahren zur Prüfung der Emission flüchtiger organischer Verbindungen richtet sich grundsätzlich nach den Vorgaben der DIN EN 16516 und des AgBB Schemas.</w:t>
      </w:r>
    </w:p>
    <w:p w14:paraId="4F83F4E3" w14:textId="77777777" w:rsidR="003268E2" w:rsidRDefault="003268E2" w:rsidP="00085A3D">
      <w:pPr>
        <w:pStyle w:val="Textkrperfett"/>
      </w:pPr>
      <w:r>
        <w:t>Übersicht</w:t>
      </w:r>
    </w:p>
    <w:p w14:paraId="14567F03" w14:textId="254FA538" w:rsidR="003268E2" w:rsidRDefault="003268E2" w:rsidP="00085A3D">
      <w:pPr>
        <w:pStyle w:val="Listennummer"/>
      </w:pPr>
      <w:r>
        <w:tab/>
        <w:t>Definitionen</w:t>
      </w:r>
    </w:p>
    <w:p w14:paraId="555341B2" w14:textId="7B821CBF" w:rsidR="003268E2" w:rsidRDefault="003268E2" w:rsidP="00085A3D">
      <w:pPr>
        <w:pStyle w:val="Listennummer"/>
      </w:pPr>
      <w:r>
        <w:tab/>
        <w:t>Geräte</w:t>
      </w:r>
    </w:p>
    <w:p w14:paraId="760C3EED" w14:textId="4995CF8F" w:rsidR="003268E2" w:rsidRDefault="003268E2" w:rsidP="00085A3D">
      <w:pPr>
        <w:pStyle w:val="Listennummer"/>
      </w:pPr>
      <w:r>
        <w:tab/>
        <w:t>Prüfmaterial</w:t>
      </w:r>
    </w:p>
    <w:p w14:paraId="4ED6EE34" w14:textId="13488AAD" w:rsidR="003268E2" w:rsidRDefault="003268E2" w:rsidP="00085A3D">
      <w:pPr>
        <w:pStyle w:val="Listennummer"/>
      </w:pPr>
      <w:r>
        <w:tab/>
        <w:t>Messung in der Emissionsprüfkammer bzw. Emissionsprüfzelle</w:t>
      </w:r>
    </w:p>
    <w:p w14:paraId="267D0E25" w14:textId="60FCCDA3" w:rsidR="003268E2" w:rsidRDefault="003268E2" w:rsidP="00085A3D">
      <w:pPr>
        <w:pStyle w:val="Listennummer"/>
      </w:pPr>
      <w:r>
        <w:tab/>
        <w:t>Luft-Probenahme und Analysenverfahren</w:t>
      </w:r>
    </w:p>
    <w:p w14:paraId="26945F56" w14:textId="5D69C84B" w:rsidR="003268E2" w:rsidRDefault="003268E2" w:rsidP="00085A3D">
      <w:pPr>
        <w:pStyle w:val="Listennummer"/>
      </w:pPr>
      <w:r>
        <w:tab/>
        <w:t>Auswertung und Prüfbericht</w:t>
      </w:r>
    </w:p>
    <w:p w14:paraId="251A1B12" w14:textId="3E35DC88" w:rsidR="003268E2" w:rsidRDefault="003268E2" w:rsidP="00085A3D">
      <w:pPr>
        <w:pStyle w:val="Listennummer"/>
      </w:pPr>
      <w:r>
        <w:tab/>
        <w:t>Prüfinstitute</w:t>
      </w:r>
    </w:p>
    <w:p w14:paraId="11D6110C" w14:textId="09929BF7" w:rsidR="003268E2" w:rsidRDefault="003268E2" w:rsidP="00085A3D">
      <w:pPr>
        <w:pStyle w:val="Listennummer"/>
      </w:pPr>
      <w:r>
        <w:tab/>
        <w:t>Literatur</w:t>
      </w:r>
    </w:p>
    <w:p w14:paraId="609602AF" w14:textId="77777777" w:rsidR="003268E2" w:rsidRDefault="003268E2" w:rsidP="00085A3D">
      <w:pPr>
        <w:pStyle w:val="Textkrperfett"/>
      </w:pPr>
      <w:r>
        <w:t>1</w:t>
      </w:r>
      <w:r>
        <w:tab/>
        <w:t>Definitionen</w:t>
      </w:r>
    </w:p>
    <w:p w14:paraId="75F1E756" w14:textId="77777777" w:rsidR="003268E2" w:rsidRDefault="003268E2" w:rsidP="00085A3D">
      <w:pPr>
        <w:pStyle w:val="Textkrperfett"/>
      </w:pPr>
      <w:r>
        <w:t>Emissionsprüfkammer</w:t>
      </w:r>
    </w:p>
    <w:p w14:paraId="5C44C06E" w14:textId="77777777" w:rsidR="003268E2" w:rsidRDefault="003268E2" w:rsidP="00085A3D">
      <w:pPr>
        <w:pStyle w:val="Textkrper"/>
      </w:pPr>
      <w:r>
        <w:t>Abgeschlossenes Behältnis mit geregelten Betriebsparametern zur Bestimmung der flüchtigen organischen Verbindungen, die von Bauprodukten emittiert werden.</w:t>
      </w:r>
    </w:p>
    <w:p w14:paraId="54973545" w14:textId="77777777" w:rsidR="003268E2" w:rsidRDefault="003268E2" w:rsidP="00085A3D">
      <w:pPr>
        <w:pStyle w:val="Textkrperfett"/>
      </w:pPr>
      <w:r>
        <w:t>Flächenspezifische Luftdurchflussrate (q [m</w:t>
      </w:r>
      <w:r w:rsidRPr="003268E2">
        <w:rPr>
          <w:vertAlign w:val="superscript"/>
        </w:rPr>
        <w:t>3</w:t>
      </w:r>
      <w:r>
        <w:t>/m</w:t>
      </w:r>
      <w:r w:rsidRPr="003268E2">
        <w:rPr>
          <w:vertAlign w:val="superscript"/>
        </w:rPr>
        <w:t>2</w:t>
      </w:r>
      <w:r>
        <w:t>h])</w:t>
      </w:r>
    </w:p>
    <w:p w14:paraId="47E374D4" w14:textId="77777777" w:rsidR="003268E2" w:rsidRDefault="003268E2" w:rsidP="00085A3D">
      <w:pPr>
        <w:pStyle w:val="Textkrper"/>
      </w:pPr>
      <w:r>
        <w:t>Verhältnis zwischen der Luftdurchflussrate und der emittierfähigen Fläche des Prüfstückes.</w:t>
      </w:r>
    </w:p>
    <w:p w14:paraId="7C05BDE8" w14:textId="77777777" w:rsidR="003268E2" w:rsidRDefault="003268E2" w:rsidP="00085A3D">
      <w:pPr>
        <w:pStyle w:val="Textkrperfett"/>
      </w:pPr>
      <w:r>
        <w:t>Luftaustauschrate (n [h-1])</w:t>
      </w:r>
    </w:p>
    <w:p w14:paraId="035365C5" w14:textId="77777777" w:rsidR="003268E2" w:rsidRDefault="003268E2" w:rsidP="00085A3D">
      <w:pPr>
        <w:pStyle w:val="Textkrper"/>
      </w:pPr>
      <w:r>
        <w:t>Das Verhältnis des Reinluftvolumens, das stündlich in die Emissionsprüfkammer eingebracht wird, zum freien Volumen der Emissionsprüfkammer, das in identischen Einheiten zu bestimmen ist, ausgedrückt in Luftwechseln pro Stunde.</w:t>
      </w:r>
    </w:p>
    <w:p w14:paraId="3173ED0A" w14:textId="77777777" w:rsidR="003268E2" w:rsidRDefault="003268E2" w:rsidP="00085A3D">
      <w:pPr>
        <w:pStyle w:val="Textkrperfett"/>
      </w:pPr>
      <w:r>
        <w:t>Luftdurchflussrate (°V [m</w:t>
      </w:r>
      <w:r w:rsidRPr="003268E2">
        <w:rPr>
          <w:vertAlign w:val="superscript"/>
        </w:rPr>
        <w:t>3</w:t>
      </w:r>
      <w:r>
        <w:t>/h])</w:t>
      </w:r>
    </w:p>
    <w:p w14:paraId="4759747F" w14:textId="77777777" w:rsidR="003268E2" w:rsidRDefault="003268E2" w:rsidP="00085A3D">
      <w:pPr>
        <w:pStyle w:val="Textkrper"/>
      </w:pPr>
      <w:r>
        <w:t>Luftvolumen, das der Emissionsprüfkammer pro Zeiteinheit zugeführt wird.</w:t>
      </w:r>
    </w:p>
    <w:p w14:paraId="4DD71124" w14:textId="77777777" w:rsidR="003268E2" w:rsidRDefault="003268E2" w:rsidP="00085A3D">
      <w:pPr>
        <w:pStyle w:val="Textkrperfett"/>
      </w:pPr>
      <w:r>
        <w:t>Luftgeschwindigkeit (v [m/s])</w:t>
      </w:r>
    </w:p>
    <w:p w14:paraId="4EB96639" w14:textId="77777777" w:rsidR="003268E2" w:rsidRDefault="003268E2" w:rsidP="00085A3D">
      <w:pPr>
        <w:pStyle w:val="Textkrper"/>
      </w:pPr>
      <w:r>
        <w:t>Luftgeschwindigkeit über der Oberfläche des Prüfstück (Abstand 10 mm).</w:t>
      </w:r>
    </w:p>
    <w:p w14:paraId="399371DF" w14:textId="77777777" w:rsidR="003268E2" w:rsidRDefault="003268E2" w:rsidP="00085A3D">
      <w:pPr>
        <w:pStyle w:val="Textkrperfett"/>
      </w:pPr>
      <w:r>
        <w:t>Produktbeladungsfaktor (L [m</w:t>
      </w:r>
      <w:r w:rsidRPr="003268E2">
        <w:rPr>
          <w:vertAlign w:val="superscript"/>
        </w:rPr>
        <w:t>2</w:t>
      </w:r>
      <w:r>
        <w:t>/m</w:t>
      </w:r>
      <w:r w:rsidRPr="003268E2">
        <w:rPr>
          <w:vertAlign w:val="superscript"/>
        </w:rPr>
        <w:t>3</w:t>
      </w:r>
      <w:r>
        <w:t>])</w:t>
      </w:r>
    </w:p>
    <w:p w14:paraId="688457B1" w14:textId="77777777" w:rsidR="003268E2" w:rsidRDefault="003268E2" w:rsidP="00085A3D">
      <w:pPr>
        <w:pStyle w:val="Textkrper"/>
      </w:pPr>
      <w:r>
        <w:t>Verhältnis von der emittierfähigen Oberfläche des Prüfstücks zu dem Emissionsprüfkammervolumen.</w:t>
      </w:r>
    </w:p>
    <w:p w14:paraId="38251FC8" w14:textId="77777777" w:rsidR="003268E2" w:rsidRDefault="003268E2" w:rsidP="00085A3D">
      <w:pPr>
        <w:pStyle w:val="Textkrperfett"/>
      </w:pPr>
      <w:r>
        <w:t>Prüfstück</w:t>
      </w:r>
    </w:p>
    <w:p w14:paraId="03410683" w14:textId="77777777" w:rsidR="003268E2" w:rsidRDefault="003268E2" w:rsidP="00085A3D">
      <w:pPr>
        <w:pStyle w:val="Textkrper"/>
      </w:pPr>
      <w:r>
        <w:t>Teil der Probe, der für die Emissionsprüfung in einer Emissionsprüfkammer besonders vorbereitet wurde, um das Emissionsverhalten des zu untersuchenden Materials oder Produktes zu simulieren.</w:t>
      </w:r>
    </w:p>
    <w:p w14:paraId="70A394AC" w14:textId="77777777" w:rsidR="003268E2" w:rsidRDefault="003268E2" w:rsidP="00085A3D">
      <w:pPr>
        <w:pStyle w:val="Textkrperfett"/>
      </w:pPr>
      <w:r>
        <w:t>Summe der flüchtigen organischen Verbindungen ohne Essigsäure (TVOC</w:t>
      </w:r>
      <w:r w:rsidRPr="003268E2">
        <w:rPr>
          <w:vertAlign w:val="subscript"/>
        </w:rPr>
        <w:t>spez.</w:t>
      </w:r>
      <w:r>
        <w:t xml:space="preserve"> ohne Essigsäure)</w:t>
      </w:r>
    </w:p>
    <w:p w14:paraId="65EAA2FF" w14:textId="20A2AE49" w:rsidR="0057659F" w:rsidRDefault="003268E2" w:rsidP="002B0845">
      <w:pPr>
        <w:pStyle w:val="Textkrper"/>
        <w:rPr>
          <w:b/>
        </w:rPr>
      </w:pPr>
      <w:r>
        <w:t>Die Summe der Konzentrationen der substanzspezifisch quantifizierten NIK-Stoffe sowie der über das Toluoläquivalent quantifizierten nicht identifizierten und nicht-Zielverbindungen mit jeweils einer Konzentration ≥ 5 μg/m</w:t>
      </w:r>
      <w:r w:rsidRPr="003268E2">
        <w:rPr>
          <w:vertAlign w:val="superscript"/>
        </w:rPr>
        <w:t>3</w:t>
      </w:r>
      <w:r>
        <w:t>, die zwischen n-Hexan und n-Hexadekan auf einer gaschromatographischen Trennsäule (Kapillarsäule mit 5 % Phenyl-/95 % Methylpolysiloxan) eluieren, einschließlich dieser Verbindungen. SVOC mit NIK Wert werden mit in den TVOC</w:t>
      </w:r>
      <w:r w:rsidRPr="0057659F">
        <w:rPr>
          <w:vertAlign w:val="subscript"/>
        </w:rPr>
        <w:t>spez.</w:t>
      </w:r>
      <w:r>
        <w:t xml:space="preserve"> (ohne Essigsäure) eingerechnet. Emissionen von Essigsäure werden nicht mit in den TVOC</w:t>
      </w:r>
      <w:r w:rsidRPr="003268E2">
        <w:rPr>
          <w:vertAlign w:val="subscript"/>
        </w:rPr>
        <w:t>spez.</w:t>
      </w:r>
      <w:r>
        <w:t xml:space="preserve"> (ohne Essigsäure) eingerechnet.</w:t>
      </w:r>
      <w:r w:rsidR="0057659F">
        <w:br w:type="page"/>
      </w:r>
    </w:p>
    <w:p w14:paraId="574C4D87" w14:textId="25C3DC64" w:rsidR="003268E2" w:rsidRDefault="003268E2" w:rsidP="00085A3D">
      <w:pPr>
        <w:pStyle w:val="Textkrperfett"/>
      </w:pPr>
      <w:r>
        <w:lastRenderedPageBreak/>
        <w:t>Flüchtige organische Verbindungen (VOC, Volatile Organic Compounds)</w:t>
      </w:r>
    </w:p>
    <w:p w14:paraId="25472AE2" w14:textId="77777777" w:rsidR="003268E2" w:rsidRDefault="003268E2" w:rsidP="00085A3D">
      <w:pPr>
        <w:pStyle w:val="Textkrper"/>
      </w:pPr>
      <w:r>
        <w:t>Generell: Organische Verbindungen, die von dem Prüfstück emittiert und in der Kammerluft nachgewiesen werden. Hier, im Sinne dieses Prüfverfahrens, die identifizierten und nicht identifizierten organischen Verbindungen, die zwischen n-Hexan und n-Hexadekan auf einer gaschromatographischen Trennsäule (Kapillarsäule mit 5 % Phenyl-/95 % Methylpolysiloxan) eluieren, einschließlich dieser Verbindungen.</w:t>
      </w:r>
    </w:p>
    <w:p w14:paraId="3644D6BA" w14:textId="77777777" w:rsidR="003268E2" w:rsidRPr="003268E2" w:rsidRDefault="003268E2" w:rsidP="00085A3D">
      <w:pPr>
        <w:pStyle w:val="Textkrperfett"/>
        <w:rPr>
          <w:lang w:val="en-US"/>
        </w:rPr>
      </w:pPr>
      <w:r w:rsidRPr="003268E2">
        <w:rPr>
          <w:lang w:val="en-US"/>
        </w:rPr>
        <w:t>SVOC (Semi volatile organic compounds)</w:t>
      </w:r>
    </w:p>
    <w:p w14:paraId="09EE6102" w14:textId="77777777" w:rsidR="003268E2" w:rsidRDefault="003268E2" w:rsidP="00085A3D">
      <w:pPr>
        <w:pStyle w:val="Textkrper"/>
      </w:pPr>
      <w:r>
        <w:t>Schwerer flüchtige organische Verbindungen (identifiziert und nicht identifiziert), die zwischen n-Hexadekan und n-Docosan auf einer gaschromatographischen Trennsäule (Kapillarsäule mit 5 % Phenyl-/95 % Methylpolysiloxan) eluieren.</w:t>
      </w:r>
    </w:p>
    <w:p w14:paraId="190C4F7D" w14:textId="77777777" w:rsidR="003268E2" w:rsidRDefault="003268E2" w:rsidP="00085A3D">
      <w:pPr>
        <w:pStyle w:val="Textkrperfett"/>
      </w:pPr>
      <w:r>
        <w:t>TSVOC (Summe der schwerer flüchtigen organischen Verbindungen)</w:t>
      </w:r>
    </w:p>
    <w:p w14:paraId="08522603" w14:textId="77777777" w:rsidR="003268E2" w:rsidRDefault="003268E2" w:rsidP="00085A3D">
      <w:pPr>
        <w:pStyle w:val="Textkrper"/>
      </w:pPr>
      <w:r>
        <w:t>Summe aller Einzelstoffe ≥ 5 μg/m</w:t>
      </w:r>
      <w:r w:rsidRPr="003268E2">
        <w:rPr>
          <w:vertAlign w:val="superscript"/>
        </w:rPr>
        <w:t>3</w:t>
      </w:r>
      <w:r>
        <w:t>, die zwischen n-Hexadekan und n-Docosan auf einer gaschromatographischen Trennsäule (Kapillarsäule mit 5 % Phenyl-/95 % Methylpolysiloxan) eluieren. SVOC mit NIK Wert werden nicht mit in den TSVOC eingerechnet.</w:t>
      </w:r>
    </w:p>
    <w:p w14:paraId="5288EC06" w14:textId="77777777" w:rsidR="003268E2" w:rsidRDefault="003268E2" w:rsidP="00085A3D">
      <w:pPr>
        <w:pStyle w:val="Textkrperfett"/>
      </w:pPr>
      <w:r>
        <w:t>2</w:t>
      </w:r>
      <w:r>
        <w:tab/>
        <w:t>Geräte</w:t>
      </w:r>
    </w:p>
    <w:p w14:paraId="69D37F17" w14:textId="25506F30" w:rsidR="003268E2" w:rsidRDefault="003268E2" w:rsidP="00085A3D">
      <w:pPr>
        <w:pStyle w:val="Aufzhlung"/>
      </w:pPr>
      <w:r>
        <w:t>Geräte für den Auftrag des Prüfmaterials</w:t>
      </w:r>
    </w:p>
    <w:p w14:paraId="71BF782F" w14:textId="69F35D46" w:rsidR="003268E2" w:rsidRDefault="003268E2" w:rsidP="00085A3D">
      <w:pPr>
        <w:pStyle w:val="Aufzhlung"/>
      </w:pPr>
      <w:r>
        <w:t>Glasplatten bzw. Glasschalen</w:t>
      </w:r>
    </w:p>
    <w:p w14:paraId="59729351" w14:textId="2B0D2826" w:rsidR="003268E2" w:rsidRDefault="003268E2" w:rsidP="00085A3D">
      <w:pPr>
        <w:pStyle w:val="Aufzhlung"/>
      </w:pPr>
      <w:r>
        <w:t>Schablone für Prüfkörper-Herstellung (ggf. auch nicht emittierendes Klebeband, Glasrand oder Edelstahlschablonen)</w:t>
      </w:r>
    </w:p>
    <w:p w14:paraId="7E875AA5" w14:textId="04D3F617" w:rsidR="003268E2" w:rsidRDefault="003268E2" w:rsidP="00085A3D">
      <w:pPr>
        <w:pStyle w:val="Aufzhlung"/>
      </w:pPr>
      <w:r>
        <w:t>Zahnspachtel TKB B1</w:t>
      </w:r>
      <w:r>
        <w:br/>
      </w:r>
      <w:r w:rsidRPr="003268E2">
        <w:t>Die Zahnung hat eine Dreieckskerbung mit folgenden Abmessungen:</w:t>
      </w:r>
    </w:p>
    <w:tbl>
      <w:tblPr>
        <w:tblW w:w="8335" w:type="dxa"/>
        <w:tblInd w:w="391" w:type="dxa"/>
        <w:tblLook w:val="0020" w:firstRow="1" w:lastRow="0" w:firstColumn="0" w:lastColumn="0" w:noHBand="0" w:noVBand="0"/>
      </w:tblPr>
      <w:tblGrid>
        <w:gridCol w:w="924"/>
        <w:gridCol w:w="4137"/>
        <w:gridCol w:w="1637"/>
        <w:gridCol w:w="1637"/>
      </w:tblGrid>
      <w:tr w:rsidR="003D5C15" w:rsidRPr="003268E2" w14:paraId="178A0A79" w14:textId="77777777" w:rsidTr="003D5C15">
        <w:trPr>
          <w:trHeight w:val="170"/>
        </w:trPr>
        <w:tc>
          <w:tcPr>
            <w:tcW w:w="4018" w:type="pct"/>
            <w:gridSpan w:val="3"/>
            <w:shd w:val="clear" w:color="auto" w:fill="92D050"/>
          </w:tcPr>
          <w:p w14:paraId="362AFC2B" w14:textId="401A3DFD" w:rsidR="003D5C15" w:rsidRPr="003268E2" w:rsidRDefault="003D5C15" w:rsidP="00085A3D">
            <w:pPr>
              <w:pStyle w:val="Tabellentextfett"/>
            </w:pPr>
            <w:r>
              <w:t>Maß</w:t>
            </w:r>
          </w:p>
        </w:tc>
        <w:tc>
          <w:tcPr>
            <w:tcW w:w="982" w:type="pct"/>
            <w:shd w:val="clear" w:color="auto" w:fill="92D050"/>
          </w:tcPr>
          <w:p w14:paraId="2A18E15A" w14:textId="4974A2D4" w:rsidR="003D5C15" w:rsidRPr="003268E2" w:rsidRDefault="003D5C15" w:rsidP="00085A3D">
            <w:pPr>
              <w:pStyle w:val="Tabellentextfett"/>
            </w:pPr>
            <w:r>
              <w:t>Toleranz</w:t>
            </w:r>
          </w:p>
        </w:tc>
      </w:tr>
      <w:tr w:rsidR="003268E2" w:rsidRPr="003268E2" w14:paraId="66510728" w14:textId="77777777" w:rsidTr="0079733C">
        <w:trPr>
          <w:trHeight w:val="110"/>
        </w:trPr>
        <w:tc>
          <w:tcPr>
            <w:tcW w:w="554" w:type="pct"/>
          </w:tcPr>
          <w:p w14:paraId="25C07017" w14:textId="77777777" w:rsidR="003268E2" w:rsidRPr="003268E2" w:rsidRDefault="003268E2" w:rsidP="00085A3D">
            <w:pPr>
              <w:pStyle w:val="Tabellentext"/>
            </w:pPr>
            <w:r w:rsidRPr="003268E2">
              <w:t>A</w:t>
            </w:r>
          </w:p>
        </w:tc>
        <w:tc>
          <w:tcPr>
            <w:tcW w:w="2482" w:type="pct"/>
          </w:tcPr>
          <w:p w14:paraId="6298FBAB" w14:textId="77777777" w:rsidR="003268E2" w:rsidRPr="003268E2" w:rsidRDefault="003268E2" w:rsidP="00085A3D">
            <w:pPr>
              <w:pStyle w:val="Tabellentext"/>
            </w:pPr>
            <w:r w:rsidRPr="003268E2">
              <w:t>Kerbenabstand / Zahnbreite</w:t>
            </w:r>
          </w:p>
        </w:tc>
        <w:tc>
          <w:tcPr>
            <w:tcW w:w="982" w:type="pct"/>
          </w:tcPr>
          <w:p w14:paraId="21FBBCBE" w14:textId="77777777" w:rsidR="003268E2" w:rsidRPr="003268E2" w:rsidRDefault="003268E2" w:rsidP="00085A3D">
            <w:pPr>
              <w:pStyle w:val="Tabellentext"/>
            </w:pPr>
            <w:r w:rsidRPr="003268E2">
              <w:t>2,6 mm</w:t>
            </w:r>
          </w:p>
        </w:tc>
        <w:tc>
          <w:tcPr>
            <w:tcW w:w="982" w:type="pct"/>
          </w:tcPr>
          <w:p w14:paraId="518494E5" w14:textId="77777777" w:rsidR="003268E2" w:rsidRPr="003268E2" w:rsidRDefault="003268E2" w:rsidP="00085A3D">
            <w:pPr>
              <w:pStyle w:val="Tabellentext"/>
            </w:pPr>
            <w:r w:rsidRPr="003268E2">
              <w:t>± 0,1 mm</w:t>
            </w:r>
          </w:p>
        </w:tc>
      </w:tr>
      <w:tr w:rsidR="003268E2" w:rsidRPr="003268E2" w14:paraId="15E3474A" w14:textId="77777777" w:rsidTr="0079733C">
        <w:trPr>
          <w:trHeight w:val="110"/>
        </w:trPr>
        <w:tc>
          <w:tcPr>
            <w:tcW w:w="554" w:type="pct"/>
          </w:tcPr>
          <w:p w14:paraId="4D8C6DEF" w14:textId="77777777" w:rsidR="003268E2" w:rsidRPr="003268E2" w:rsidRDefault="003268E2" w:rsidP="00085A3D">
            <w:pPr>
              <w:pStyle w:val="Tabellentext"/>
            </w:pPr>
            <w:r w:rsidRPr="003268E2">
              <w:t>B</w:t>
            </w:r>
          </w:p>
        </w:tc>
        <w:tc>
          <w:tcPr>
            <w:tcW w:w="2482" w:type="pct"/>
          </w:tcPr>
          <w:p w14:paraId="1F6252F3" w14:textId="77777777" w:rsidR="003268E2" w:rsidRPr="003268E2" w:rsidRDefault="003268E2" w:rsidP="00085A3D">
            <w:pPr>
              <w:pStyle w:val="Tabellentext"/>
            </w:pPr>
            <w:r w:rsidRPr="003268E2">
              <w:t>Kerbenbreite / Zahnlückenbreite</w:t>
            </w:r>
          </w:p>
        </w:tc>
        <w:tc>
          <w:tcPr>
            <w:tcW w:w="982" w:type="pct"/>
          </w:tcPr>
          <w:p w14:paraId="1A15080D" w14:textId="77777777" w:rsidR="003268E2" w:rsidRPr="003268E2" w:rsidRDefault="003268E2" w:rsidP="00085A3D">
            <w:pPr>
              <w:pStyle w:val="Tabellentext"/>
            </w:pPr>
            <w:r w:rsidRPr="003268E2">
              <w:t>2,4 mm</w:t>
            </w:r>
          </w:p>
        </w:tc>
        <w:tc>
          <w:tcPr>
            <w:tcW w:w="982" w:type="pct"/>
          </w:tcPr>
          <w:p w14:paraId="33E2910C" w14:textId="77777777" w:rsidR="003268E2" w:rsidRPr="003268E2" w:rsidRDefault="003268E2" w:rsidP="00085A3D">
            <w:pPr>
              <w:pStyle w:val="Tabellentext"/>
            </w:pPr>
            <w:r w:rsidRPr="003268E2">
              <w:t>± 0,1 mm</w:t>
            </w:r>
          </w:p>
        </w:tc>
      </w:tr>
      <w:tr w:rsidR="003268E2" w:rsidRPr="003268E2" w14:paraId="1A12C0F8" w14:textId="77777777" w:rsidTr="0079733C">
        <w:trPr>
          <w:trHeight w:val="264"/>
        </w:trPr>
        <w:tc>
          <w:tcPr>
            <w:tcW w:w="554" w:type="pct"/>
          </w:tcPr>
          <w:p w14:paraId="4B3291C3" w14:textId="77777777" w:rsidR="003268E2" w:rsidRPr="003268E2" w:rsidRDefault="003268E2" w:rsidP="00085A3D">
            <w:pPr>
              <w:pStyle w:val="Tabellentext"/>
            </w:pPr>
            <w:r w:rsidRPr="003268E2">
              <w:t>C</w:t>
            </w:r>
          </w:p>
        </w:tc>
        <w:tc>
          <w:tcPr>
            <w:tcW w:w="2482" w:type="pct"/>
          </w:tcPr>
          <w:p w14:paraId="6E0EC24D" w14:textId="77777777" w:rsidR="003268E2" w:rsidRPr="003268E2" w:rsidRDefault="003268E2" w:rsidP="00085A3D">
            <w:pPr>
              <w:pStyle w:val="Tabellentext"/>
            </w:pPr>
            <w:r w:rsidRPr="003268E2">
              <w:t>Kerbentiefe /Zahnlückentiefe</w:t>
            </w:r>
          </w:p>
        </w:tc>
        <w:tc>
          <w:tcPr>
            <w:tcW w:w="982" w:type="pct"/>
          </w:tcPr>
          <w:p w14:paraId="4740E35B" w14:textId="77777777" w:rsidR="003268E2" w:rsidRPr="003268E2" w:rsidRDefault="003268E2" w:rsidP="00085A3D">
            <w:pPr>
              <w:pStyle w:val="Tabellentext"/>
            </w:pPr>
            <w:r w:rsidRPr="003268E2">
              <w:t>2,0 mm</w:t>
            </w:r>
          </w:p>
        </w:tc>
        <w:tc>
          <w:tcPr>
            <w:tcW w:w="982" w:type="pct"/>
          </w:tcPr>
          <w:p w14:paraId="1F5EFCBE" w14:textId="77777777" w:rsidR="003268E2" w:rsidRPr="003268E2" w:rsidRDefault="003268E2" w:rsidP="00085A3D">
            <w:pPr>
              <w:pStyle w:val="Tabellentext"/>
            </w:pPr>
            <w:r w:rsidRPr="003268E2">
              <w:t>± 0,1 mm</w:t>
            </w:r>
          </w:p>
        </w:tc>
      </w:tr>
      <w:tr w:rsidR="003268E2" w:rsidRPr="003268E2" w14:paraId="1C552BE1" w14:textId="77777777" w:rsidTr="0079733C">
        <w:trPr>
          <w:trHeight w:val="251"/>
        </w:trPr>
        <w:tc>
          <w:tcPr>
            <w:tcW w:w="554" w:type="pct"/>
          </w:tcPr>
          <w:p w14:paraId="5C81A98E" w14:textId="77777777" w:rsidR="003268E2" w:rsidRPr="003268E2" w:rsidRDefault="003268E2" w:rsidP="00085A3D">
            <w:pPr>
              <w:pStyle w:val="Tabellentext"/>
            </w:pPr>
            <w:r w:rsidRPr="003268E2">
              <w:t>γ</w:t>
            </w:r>
          </w:p>
        </w:tc>
        <w:tc>
          <w:tcPr>
            <w:tcW w:w="2482" w:type="pct"/>
          </w:tcPr>
          <w:p w14:paraId="7552A704" w14:textId="77777777" w:rsidR="003268E2" w:rsidRPr="003268E2" w:rsidRDefault="003268E2" w:rsidP="00085A3D">
            <w:pPr>
              <w:pStyle w:val="Tabellentext"/>
            </w:pPr>
            <w:r w:rsidRPr="003268E2">
              <w:t>Kerbenwinkel</w:t>
            </w:r>
          </w:p>
        </w:tc>
        <w:tc>
          <w:tcPr>
            <w:tcW w:w="982" w:type="pct"/>
          </w:tcPr>
          <w:p w14:paraId="7EDE3D02" w14:textId="77777777" w:rsidR="003268E2" w:rsidRPr="003268E2" w:rsidRDefault="003268E2" w:rsidP="00085A3D">
            <w:pPr>
              <w:pStyle w:val="Tabellentext"/>
            </w:pPr>
            <w:r w:rsidRPr="003268E2">
              <w:t>55 °</w:t>
            </w:r>
          </w:p>
        </w:tc>
        <w:tc>
          <w:tcPr>
            <w:tcW w:w="982" w:type="pct"/>
          </w:tcPr>
          <w:p w14:paraId="2ED77FF8" w14:textId="77777777" w:rsidR="003268E2" w:rsidRPr="003268E2" w:rsidRDefault="003268E2" w:rsidP="00085A3D">
            <w:pPr>
              <w:pStyle w:val="Tabellentext"/>
            </w:pPr>
            <w:r w:rsidRPr="003268E2">
              <w:t>± 0,5 °</w:t>
            </w:r>
          </w:p>
        </w:tc>
      </w:tr>
    </w:tbl>
    <w:p w14:paraId="58760B4D" w14:textId="0FB92CBE" w:rsidR="003268E2" w:rsidRDefault="003D5C15" w:rsidP="00085A3D">
      <w:pPr>
        <w:pStyle w:val="Tabellen-undAbbildungsunterschrift"/>
      </w:pPr>
      <w:r w:rsidRPr="003D5C15">
        <w:t xml:space="preserve">Quelle: Blauer Engel </w:t>
      </w:r>
      <w:r w:rsidR="007C3041">
        <w:t>für e</w:t>
      </w:r>
      <w:r w:rsidRPr="003D5C15">
        <w:t>missionsarme Bodenbelagsklebstoffe und andere Verlegewerkstoffe (DE-UZ 113, Ausgabe Januar 2019)</w:t>
      </w:r>
    </w:p>
    <w:p w14:paraId="46503E62" w14:textId="77777777" w:rsidR="003D5C15" w:rsidRDefault="003D5C15" w:rsidP="00085A3D">
      <w:pPr>
        <w:pStyle w:val="Aufzhlung"/>
      </w:pPr>
      <w:r>
        <w:t>Emissionsprüfkammer, siehe Punkt 4</w:t>
      </w:r>
    </w:p>
    <w:p w14:paraId="0F761C1B" w14:textId="77777777" w:rsidR="003D5C15" w:rsidRDefault="003D5C15" w:rsidP="00085A3D">
      <w:pPr>
        <w:pStyle w:val="Aufzhlung"/>
      </w:pPr>
      <w:r>
        <w:t xml:space="preserve">Systeme für Luftprobenahme </w:t>
      </w:r>
    </w:p>
    <w:p w14:paraId="4120FDDE" w14:textId="77777777" w:rsidR="003D5C15" w:rsidRDefault="003D5C15" w:rsidP="00085A3D">
      <w:pPr>
        <w:pStyle w:val="Aufzhlung"/>
      </w:pPr>
      <w:r>
        <w:t>Adsorbentien für Luftprobenahme gemäß Punkt 5.</w:t>
      </w:r>
    </w:p>
    <w:p w14:paraId="29B8011F" w14:textId="77777777" w:rsidR="003D5C15" w:rsidRDefault="003D5C15" w:rsidP="00085A3D">
      <w:pPr>
        <w:pStyle w:val="Aufzhlung"/>
      </w:pPr>
      <w:r>
        <w:t>Kapillargaschromatograph mit Thermodesorptionseinheit, gekoppelt an ein Massenspektrometer mit Auswerteeinheit</w:t>
      </w:r>
    </w:p>
    <w:p w14:paraId="130FC314" w14:textId="77777777" w:rsidR="003D5C15" w:rsidRDefault="003D5C15" w:rsidP="00085A3D">
      <w:pPr>
        <w:pStyle w:val="Aufzhlung"/>
      </w:pPr>
      <w:r>
        <w:t>Flüssigkeitschromatograph mit UV-Absorptionsdetektor oder Dioden-Array-Detektor.</w:t>
      </w:r>
    </w:p>
    <w:p w14:paraId="5EBB8E4F" w14:textId="77777777" w:rsidR="003D5C15" w:rsidRPr="00AC2434" w:rsidRDefault="003D5C15" w:rsidP="00085A3D">
      <w:pPr>
        <w:pStyle w:val="Textkrperfett"/>
      </w:pPr>
      <w:r w:rsidRPr="00AC2434">
        <w:t>3</w:t>
      </w:r>
      <w:r>
        <w:tab/>
      </w:r>
      <w:r w:rsidRPr="00AC2434">
        <w:t>Prüfmaterial</w:t>
      </w:r>
    </w:p>
    <w:p w14:paraId="5C4F67CE" w14:textId="77777777" w:rsidR="003D5C15" w:rsidRPr="00564D3D" w:rsidRDefault="003D5C15" w:rsidP="00085A3D">
      <w:pPr>
        <w:pStyle w:val="Textkrperfett"/>
      </w:pPr>
      <w:r w:rsidRPr="00564D3D">
        <w:t>3.1</w:t>
      </w:r>
      <w:r>
        <w:tab/>
      </w:r>
      <w:r w:rsidRPr="00564D3D">
        <w:t>Auswahl</w:t>
      </w:r>
    </w:p>
    <w:p w14:paraId="6D4E3462" w14:textId="6CE34A29" w:rsidR="0057659F" w:rsidRDefault="003D5C15" w:rsidP="00085A3D">
      <w:pPr>
        <w:pStyle w:val="Textkrper"/>
      </w:pPr>
      <w:r>
        <w:t>Zur Prüfung sind Muster auszuwählen, deren Produktion maximal 8 Wochen zurückliegt. Produkte für den Nassauftrag, die in einem geschlossenen Behälter (z. B. Dose, Kartusche) geliefert werden, dürfen nicht später als vier Monate nach der Probenahme geprüft werden Die Verantwortung für die Anlieferung frischen Prüfmaterials liegt beim Auftraggeber der Prüfung. In der Regel wird ein Muster im Originalgebinde angeliefert, der Inhalt vom Prüflabor homogenisiert und eine Rückstellprobe entnommen. Das Herstelldatum ist anzugeben.</w:t>
      </w:r>
    </w:p>
    <w:p w14:paraId="66A1072B" w14:textId="77777777" w:rsidR="0057659F" w:rsidRDefault="0057659F">
      <w:pPr>
        <w:spacing w:after="0"/>
        <w:rPr>
          <w:rFonts w:ascii="Calibri" w:hAnsi="Calibri"/>
          <w:sz w:val="20"/>
        </w:rPr>
      </w:pPr>
      <w:r>
        <w:br w:type="page"/>
      </w:r>
    </w:p>
    <w:p w14:paraId="6C3C78AD" w14:textId="77777777" w:rsidR="003D5C15" w:rsidRPr="00564D3D" w:rsidRDefault="003D5C15" w:rsidP="00085A3D">
      <w:pPr>
        <w:pStyle w:val="Textkrperfett"/>
      </w:pPr>
      <w:r>
        <w:lastRenderedPageBreak/>
        <w:t>3.2</w:t>
      </w:r>
      <w:r>
        <w:tab/>
      </w:r>
      <w:r w:rsidRPr="00564D3D">
        <w:t>Herstellung des Prüfkörpers</w:t>
      </w:r>
    </w:p>
    <w:p w14:paraId="66EE8666" w14:textId="77777777" w:rsidR="003D5C15" w:rsidRDefault="003D5C15" w:rsidP="00085A3D">
      <w:pPr>
        <w:pStyle w:val="Textkrper"/>
      </w:pPr>
      <w:r>
        <w:t>Gebrauchsfertige Verlegewerkstoffe werden im Anlieferungszustand geprüft. Andere sind nach Herstellerangabe anzumischen.</w:t>
      </w:r>
    </w:p>
    <w:p w14:paraId="67A6D324" w14:textId="77777777" w:rsidR="003D5C15" w:rsidRDefault="003D5C15" w:rsidP="00085A3D">
      <w:pPr>
        <w:pStyle w:val="Textkrper"/>
      </w:pPr>
      <w:r>
        <w:t>Je nach Art des zu prüfenden Verlegewerkstoffes werden die Prüfkörper auf unterschiedliche Weise hergestellt.</w:t>
      </w:r>
    </w:p>
    <w:p w14:paraId="05FEEEFD" w14:textId="77777777" w:rsidR="003D5C15" w:rsidRDefault="003D5C15" w:rsidP="00085A3D">
      <w:pPr>
        <w:pStyle w:val="Textkrper"/>
      </w:pPr>
      <w:r>
        <w:t>Die Herstellung des Prüfkörpers soll exakt gemäß den nachfolgenden Vorgaben erfolgen.</w:t>
      </w:r>
    </w:p>
    <w:p w14:paraId="20230A66" w14:textId="77777777" w:rsidR="003D5C15" w:rsidRPr="003D5C15" w:rsidRDefault="003D5C15" w:rsidP="00085A3D">
      <w:pPr>
        <w:pStyle w:val="Textkrperfett"/>
      </w:pPr>
      <w:r w:rsidRPr="003D5C15">
        <w:t>3.2.1</w:t>
      </w:r>
      <w:r w:rsidRPr="003D5C15">
        <w:tab/>
        <w:t>Vorstriche/Grundierungen</w:t>
      </w:r>
    </w:p>
    <w:p w14:paraId="7B529E27" w14:textId="77777777" w:rsidR="003D5C15" w:rsidRDefault="003D5C15" w:rsidP="00085A3D">
      <w:pPr>
        <w:pStyle w:val="Textkrper"/>
      </w:pPr>
      <w:r>
        <w:t>sind bei der Anwendung flüssige Verlegewerkstoffe, die zur Vorbereitung von Untergrundoberflächen verwendet werden. Hierzu gehören z. B. auch leitfähige Vorstriche und Anti-Rutsch-Beschichtungen.</w:t>
      </w:r>
    </w:p>
    <w:p w14:paraId="2B8A39BA" w14:textId="77777777" w:rsidR="003D5C15" w:rsidRPr="003D5C15" w:rsidRDefault="003D5C15" w:rsidP="00085A3D">
      <w:pPr>
        <w:pStyle w:val="Textkrperfett"/>
      </w:pPr>
      <w:r w:rsidRPr="003D5C15">
        <w:t>3.2.1.1</w:t>
      </w:r>
      <w:r w:rsidRPr="003D5C15">
        <w:tab/>
        <w:t>Vorgehensweise bei wässrigen Produkten</w:t>
      </w:r>
    </w:p>
    <w:p w14:paraId="70D55C46" w14:textId="77777777" w:rsidR="003D5C15" w:rsidRPr="004C4DFF" w:rsidRDefault="003D5C15" w:rsidP="003D5C15">
      <w:pPr>
        <w:rPr>
          <w:rStyle w:val="TextkrperZchn"/>
        </w:rPr>
      </w:pPr>
      <w:r w:rsidRPr="004C4DFF">
        <w:rPr>
          <w:rStyle w:val="TextkrperZchn"/>
        </w:rPr>
        <w:t>Probe homogenisieren. Falls keine verbindliche Herstellerangabe über den Trockenrückstand der angelieferten Probe vorliegt, Trockenrückstand in Anlehnung an ISO 1625 durch Trocknen einer separaten Teilprobe bei 105 °C bis zur Gewichtskonstanz ermitteln. Probe auf Basis des vom Hersteller angegebenen, ersatzweise des eigens ermittelten Trockenrückstandes mit VOC- freiem Wasser auf 10 % Trockenrückstand einstellen und homogenisieren. So viel der ggf. verdünnten Probe in eine gewogene Glasschale (siehe Punkt 2) gießen, dass diese mit 100 ± 5 g/m</w:t>
      </w:r>
      <w:r w:rsidRPr="008F6D88">
        <w:rPr>
          <w:rStyle w:val="TextkrperZchn"/>
          <w:vertAlign w:val="superscript"/>
        </w:rPr>
        <w:t>2</w:t>
      </w:r>
      <w:r w:rsidRPr="004C4DFF">
        <w:rPr>
          <w:rStyle w:val="TextkrperZchn"/>
        </w:rPr>
        <w:t xml:space="preserve"> beladen ist. Durch Schwenken der Schale den Boden gleichmäßig benetzen. Schale unmittelbar danach in die Prüfkammer überführen. Nach der Prüfung durch Zurückwiegen sicherstellen, dass das Gewicht des in der Prüfkammer getrockneten Probenfilms</w:t>
      </w:r>
      <w:r>
        <w:t xml:space="preserve"> </w:t>
      </w:r>
      <w:r w:rsidRPr="004C4DFF">
        <w:rPr>
          <w:rStyle w:val="TextkrperZchn"/>
        </w:rPr>
        <w:t>bei den vorgesehenen 10 ± 1 g/m</w:t>
      </w:r>
      <w:r w:rsidRPr="004C4DFF">
        <w:rPr>
          <w:rStyle w:val="TextkrperZchn"/>
          <w:vertAlign w:val="superscript"/>
        </w:rPr>
        <w:t>2</w:t>
      </w:r>
      <w:r w:rsidRPr="004C4DFF">
        <w:rPr>
          <w:rStyle w:val="TextkrperZchn"/>
        </w:rPr>
        <w:t xml:space="preserve"> liegt.</w:t>
      </w:r>
    </w:p>
    <w:p w14:paraId="4441E31D" w14:textId="77777777" w:rsidR="003D5C15" w:rsidRPr="003D5C15" w:rsidRDefault="003D5C15" w:rsidP="00085A3D">
      <w:pPr>
        <w:pStyle w:val="Textkrperfett"/>
      </w:pPr>
      <w:r w:rsidRPr="003D5C15">
        <w:t>3.2.1.2</w:t>
      </w:r>
      <w:r w:rsidRPr="003D5C15">
        <w:tab/>
        <w:t>Vorgehensweise bei wasserfreien Produkten</w:t>
      </w:r>
    </w:p>
    <w:p w14:paraId="2EB2A8C7" w14:textId="77777777" w:rsidR="003D5C15" w:rsidRDefault="003D5C15" w:rsidP="00085A3D">
      <w:pPr>
        <w:pStyle w:val="Textkrper"/>
      </w:pPr>
      <w:r>
        <w:t xml:space="preserve">Probenkomponenten wie oben beschrieben homogenisieren und ggf. im vom Hersteller angegebenen Mischungsverhältnis homogen anmischen. Eine unverdünnte Probenmenge von 100 </w:t>
      </w:r>
      <w:r w:rsidRPr="00DE3EC7">
        <w:t>±</w:t>
      </w:r>
      <w:r>
        <w:t xml:space="preserve"> 5 g/m</w:t>
      </w:r>
      <w:r w:rsidRPr="00EA18F7">
        <w:rPr>
          <w:vertAlign w:val="superscript"/>
        </w:rPr>
        <w:t>2</w:t>
      </w:r>
      <w:r>
        <w:t xml:space="preserve"> sinngemäß wie oben beschrieben prüfen.</w:t>
      </w:r>
    </w:p>
    <w:p w14:paraId="17019A96" w14:textId="77777777" w:rsidR="003D5C15" w:rsidRPr="003D5C15" w:rsidRDefault="003D5C15" w:rsidP="00085A3D">
      <w:pPr>
        <w:pStyle w:val="Textkrperfett"/>
      </w:pPr>
      <w:r w:rsidRPr="003D5C15">
        <w:t>3.2.2</w:t>
      </w:r>
      <w:r w:rsidRPr="003D5C15">
        <w:tab/>
        <w:t>Spachtelmassen</w:t>
      </w:r>
    </w:p>
    <w:p w14:paraId="33941A20" w14:textId="77777777" w:rsidR="003D5C15" w:rsidRDefault="003D5C15" w:rsidP="00085A3D">
      <w:pPr>
        <w:pStyle w:val="Textkrper"/>
      </w:pPr>
      <w:r>
        <w:t>sind pulverförmige Verlegewerkstoffe, die nach dem Anmischen mit Wasser erhärten und zum Spachteln von Untergründen Verwendung finden. Hierzu gehören z. B. Zement- und Gipsspachtelmassen. Spachtelmassen auf Dispersions- oder Reaktionsharzbasis sind wie Klebstoffe zu prüfen (siehe Punkt 3.2.3).</w:t>
      </w:r>
    </w:p>
    <w:p w14:paraId="53BB08DA" w14:textId="77777777" w:rsidR="003D5C15" w:rsidRPr="003D5C15" w:rsidRDefault="003D5C15" w:rsidP="00085A3D">
      <w:pPr>
        <w:pStyle w:val="Textkrperfett"/>
      </w:pPr>
      <w:r w:rsidRPr="003D5C15">
        <w:t>Vorgehensweise</w:t>
      </w:r>
    </w:p>
    <w:p w14:paraId="494F7B1F" w14:textId="77777777" w:rsidR="003D5C15" w:rsidRDefault="003D5C15" w:rsidP="00085A3D">
      <w:pPr>
        <w:pStyle w:val="Textkrper"/>
      </w:pPr>
      <w:r>
        <w:t>Probe nach Angaben des Herstellers mit VOC-freiem Wasser homogen anmischen, ca. 5 Minuten stehen lassen und erneut durchrühren. Eine 3 mm dicke gleichmäßige Schicht der angemischten Probe vollflächig auf eine Glasplatte (siehe Punkt 2) auftragen und mit einem glatten Spachtel abziehen. Dazu Rand der Beladungsfläche mittels emissionsfreier Hilfsbegrenzung (z. B. Glasrand oder Edelstahlrahmen als Schablone) ausreichend hoch abgrenzen. Prüfkörper unverzüglich nach Herstellung zusammen mit emissionsfreier Hilfsbegrenzung in die Prüfkammer überführen.</w:t>
      </w:r>
    </w:p>
    <w:p w14:paraId="09332BA2" w14:textId="77777777" w:rsidR="003D5C15" w:rsidRPr="003D5C15" w:rsidRDefault="003D5C15" w:rsidP="00085A3D">
      <w:pPr>
        <w:pStyle w:val="Textkrperfett"/>
      </w:pPr>
      <w:r w:rsidRPr="00AC2434">
        <w:rPr>
          <w:bCs/>
        </w:rPr>
        <w:t>3</w:t>
      </w:r>
      <w:r w:rsidRPr="003D5C15">
        <w:t>.2.3</w:t>
      </w:r>
      <w:r w:rsidRPr="003D5C15">
        <w:tab/>
        <w:t>Bodenbelag- und Parkettklebstoffe</w:t>
      </w:r>
    </w:p>
    <w:p w14:paraId="0B1D9163" w14:textId="77777777" w:rsidR="003D5C15" w:rsidRDefault="003D5C15" w:rsidP="00085A3D">
      <w:pPr>
        <w:pStyle w:val="Textkrper"/>
      </w:pPr>
      <w:r>
        <w:t>sind bei der Anwendung flüssige bis pastöse Verlegewerkstoffe, die zur Herstellung eines festen Haftverbundes zwischen Belag und Untergrund verwendet werden. Hierzu gehören z. B. auch Kontaktklebstoffe und Fixierungen.</w:t>
      </w:r>
    </w:p>
    <w:p w14:paraId="085F4AE6" w14:textId="77777777" w:rsidR="003D5C15" w:rsidRPr="00AC2434" w:rsidRDefault="003D5C15" w:rsidP="00085A3D">
      <w:pPr>
        <w:pStyle w:val="Textkrperfett"/>
      </w:pPr>
      <w:r w:rsidRPr="00AC2434">
        <w:t>3.2.3.1</w:t>
      </w:r>
      <w:r>
        <w:tab/>
      </w:r>
      <w:r w:rsidRPr="00AC2434">
        <w:t>Vorgehensweise bei gebrauchsfertigen Klebstoffen</w:t>
      </w:r>
    </w:p>
    <w:p w14:paraId="4AC91B6B" w14:textId="77777777" w:rsidR="003D5C15" w:rsidRDefault="003D5C15" w:rsidP="00085A3D">
      <w:pPr>
        <w:pStyle w:val="Textkrper"/>
      </w:pPr>
      <w:r>
        <w:t>Die Probe ist zu homogenisieren. Anschließend wird die Probe im Gewichtsüberschuss auf der vorgewogenen Glasplatte (siehe Punkt 2, Beispiele siehe Punkt 4) vorgelegt und mit einem Zahnspachtel TKB B 1 durch einmaliges Abziehen (Anstellwinkel ca. 60 °) gleichmäßig verteilt, so dass sich eine auf der vollen Fläche gleichmäßig strukturierte Probenoberfläche ergibt. Danach ist die Glasplatte zurückzuwiegen und die Auftragsmenge zu dokumentieren. Die Auftragsmenge muss möglichst genau 300 g/m</w:t>
      </w:r>
      <w:r w:rsidRPr="005D10F9">
        <w:rPr>
          <w:vertAlign w:val="superscript"/>
        </w:rPr>
        <w:t>2</w:t>
      </w:r>
      <w:r>
        <w:t xml:space="preserve"> betragen. Ein Toleranzbereich von 300 + 50 g/m</w:t>
      </w:r>
      <w:r w:rsidRPr="005D10F9">
        <w:rPr>
          <w:vertAlign w:val="superscript"/>
        </w:rPr>
        <w:t>2</w:t>
      </w:r>
      <w:r>
        <w:t xml:space="preserve"> kann akzeptiert werden. Sollte dieser Toleranzbereich unter- oder überschritten werden, muss ein neuer Prüfkörper hergestellt werden. Durch Erhöhung des Anstellwinkels des Spachtels wird die Auftragsmenge erhöht, durch Verminderung des Anstellwinkels </w:t>
      </w:r>
      <w:r>
        <w:lastRenderedPageBreak/>
        <w:t>wird die Auftragsmenge verringert. Der gesamte Probenauftrag soll innerhalb von 3 Minuten durchgeführt werden. Der/die Prüfkörper sind unmittelbar nach der Herstellung in die Prüfkammer überführen.</w:t>
      </w:r>
    </w:p>
    <w:p w14:paraId="202DA4C0" w14:textId="77777777" w:rsidR="003D5C15" w:rsidRPr="00AC2434" w:rsidRDefault="003D5C15" w:rsidP="00085A3D">
      <w:pPr>
        <w:pStyle w:val="Textkrperfett"/>
      </w:pPr>
      <w:r w:rsidRPr="00AC2434">
        <w:t>3.2.3.2</w:t>
      </w:r>
      <w:r>
        <w:tab/>
      </w:r>
      <w:r w:rsidRPr="00AC2434">
        <w:t>Vorgehensweise bei 2-Komponentenklebstoffen und Pulverklebstoffen</w:t>
      </w:r>
    </w:p>
    <w:p w14:paraId="12161B2A" w14:textId="77777777" w:rsidR="003D5C15" w:rsidRDefault="003D5C15" w:rsidP="00085A3D">
      <w:pPr>
        <w:pStyle w:val="Textkrper"/>
      </w:pPr>
      <w:r>
        <w:t>Die Probe ist nach Angaben des Herstellers homogen anzumischen. Bei Einsatz von Wasser ist dessen VOC-Freiheit zu kontrollieren. Die Herstellung des Prüfkörpers erfolgt sinngemäß, wie unter Punkt 3.2.3.1 beschrieben.</w:t>
      </w:r>
    </w:p>
    <w:p w14:paraId="751CE3AF" w14:textId="77777777" w:rsidR="003D5C15" w:rsidRPr="000D40F8" w:rsidRDefault="003D5C15" w:rsidP="00085A3D">
      <w:pPr>
        <w:pStyle w:val="Textkrperfett"/>
      </w:pPr>
      <w:r w:rsidRPr="000D40F8">
        <w:t>3.2.4</w:t>
      </w:r>
      <w:r>
        <w:tab/>
      </w:r>
      <w:r w:rsidRPr="000D40F8">
        <w:t>Klebebänder</w:t>
      </w:r>
    </w:p>
    <w:p w14:paraId="7057B113" w14:textId="77777777" w:rsidR="003D5C15" w:rsidRDefault="003D5C15" w:rsidP="00085A3D">
      <w:pPr>
        <w:pStyle w:val="Textkrper"/>
      </w:pPr>
      <w:r>
        <w:t xml:space="preserve">Die Rolle wird mindestens 2 Rollenumwicklungen weit abgerollt. Das Produkt wird mit der selbstklebenden Unterseite direkt auf die inerte Platte vollflächig geklebt. Bei Produkten mit einer selbstklebenden Oberseite wird die Abdeckfolie abgezogen. Die offenen Kanten des Klebebandes werden nicht abgedeckt. </w:t>
      </w:r>
    </w:p>
    <w:p w14:paraId="6F311385" w14:textId="77777777" w:rsidR="003D5C15" w:rsidRPr="000D40F8" w:rsidRDefault="003D5C15" w:rsidP="00085A3D">
      <w:pPr>
        <w:pStyle w:val="Textkrperfett"/>
      </w:pPr>
      <w:r w:rsidRPr="000D40F8">
        <w:t>4</w:t>
      </w:r>
      <w:r>
        <w:tab/>
      </w:r>
      <w:r w:rsidRPr="000D40F8">
        <w:t>Messung in der Emissionsprüfkammer</w:t>
      </w:r>
    </w:p>
    <w:p w14:paraId="48C6CBA1" w14:textId="77777777" w:rsidR="003D5C15" w:rsidRDefault="003D5C15" w:rsidP="00085A3D">
      <w:pPr>
        <w:pStyle w:val="Textkrper"/>
      </w:pPr>
      <w:r>
        <w:t>Die Prüfkammern haben den in [1] beschriebenen Anforderungen zu entsprechen. Dies bedeutet insbesondere:</w:t>
      </w:r>
    </w:p>
    <w:p w14:paraId="0D7EB223" w14:textId="77777777" w:rsidR="003D5C15" w:rsidRDefault="003D5C15" w:rsidP="00085A3D">
      <w:pPr>
        <w:pStyle w:val="Aufzhlung"/>
      </w:pPr>
      <w:r>
        <w:t>Reinstluftversorgung</w:t>
      </w:r>
    </w:p>
    <w:p w14:paraId="5084A99A" w14:textId="77777777" w:rsidR="003D5C15" w:rsidRDefault="003D5C15" w:rsidP="00085A3D">
      <w:pPr>
        <w:pStyle w:val="Aufzhlung"/>
      </w:pPr>
      <w:r>
        <w:t>VOC- und Staubfrei</w:t>
      </w:r>
    </w:p>
    <w:p w14:paraId="0C6B5E54" w14:textId="77777777" w:rsidR="003D5C15" w:rsidRDefault="003D5C15" w:rsidP="00085A3D">
      <w:pPr>
        <w:pStyle w:val="Aufzhlung"/>
      </w:pPr>
      <w:r>
        <w:t>Reinstwasserversorgung</w:t>
      </w:r>
    </w:p>
    <w:p w14:paraId="0E0E66C7" w14:textId="77777777" w:rsidR="003D5C15" w:rsidRDefault="003D5C15" w:rsidP="00085A3D">
      <w:pPr>
        <w:pStyle w:val="Aufzhlung"/>
      </w:pPr>
      <w:r>
        <w:t>Kammerwände aus Glas oder Edelstahl</w:t>
      </w:r>
    </w:p>
    <w:p w14:paraId="5989A4DA" w14:textId="77777777" w:rsidR="003D5C15" w:rsidRDefault="003D5C15" w:rsidP="00085A3D">
      <w:pPr>
        <w:pStyle w:val="Aufzhlung"/>
      </w:pPr>
      <w:r>
        <w:t>Weitestgehender Verzicht auf Dichtungsmaterialien</w:t>
      </w:r>
    </w:p>
    <w:p w14:paraId="108620C1" w14:textId="77777777" w:rsidR="003D5C15" w:rsidRDefault="003D5C15" w:rsidP="00085A3D">
      <w:pPr>
        <w:pStyle w:val="Aufzhlung"/>
      </w:pPr>
      <w:r>
        <w:t>Manteltemperierung empfohlen</w:t>
      </w:r>
    </w:p>
    <w:p w14:paraId="04A352A0" w14:textId="77777777" w:rsidR="003D5C15" w:rsidRDefault="003D5C15" w:rsidP="00085A3D">
      <w:pPr>
        <w:pStyle w:val="Textkrper"/>
      </w:pPr>
      <w:r>
        <w:t>Folgende Prüfbedingungen sind in Anlehnung an [1] einzuhalten:</w:t>
      </w:r>
    </w:p>
    <w:p w14:paraId="08A574AF" w14:textId="77777777" w:rsidR="003D5C15" w:rsidRDefault="003D5C15" w:rsidP="00085A3D">
      <w:pPr>
        <w:pStyle w:val="Textkrper"/>
      </w:pPr>
      <w:r>
        <w:t xml:space="preserve">Temperatur (T) </w:t>
      </w:r>
      <w:r>
        <w:tab/>
        <w:t>23 °C</w:t>
      </w:r>
      <w:r>
        <w:tab/>
        <w:t>±</w:t>
      </w:r>
      <w:r>
        <w:tab/>
        <w:t>1 K</w:t>
      </w:r>
    </w:p>
    <w:p w14:paraId="4E7A05A9" w14:textId="77777777" w:rsidR="003D5C15" w:rsidRDefault="003D5C15" w:rsidP="00085A3D">
      <w:pPr>
        <w:pStyle w:val="Textkrper"/>
      </w:pPr>
      <w:r>
        <w:t xml:space="preserve">Relative Luftfeuchtigkeit (r.F.) </w:t>
      </w:r>
      <w:r>
        <w:tab/>
        <w:t xml:space="preserve">50 % r.F. </w:t>
      </w:r>
      <w:r>
        <w:tab/>
        <w:t>±</w:t>
      </w:r>
      <w:r>
        <w:tab/>
        <w:t>5 % r.F.</w:t>
      </w:r>
    </w:p>
    <w:p w14:paraId="3A38050D" w14:textId="77777777" w:rsidR="003D5C15" w:rsidRDefault="003D5C15" w:rsidP="00085A3D">
      <w:pPr>
        <w:pStyle w:val="Textkrper"/>
      </w:pPr>
      <w:r>
        <w:t xml:space="preserve">Luftströmungsgeschwindigkeit (v) </w:t>
      </w:r>
      <w:r>
        <w:tab/>
        <w:t>0,1 – 0,3 m/s</w:t>
      </w:r>
    </w:p>
    <w:p w14:paraId="1226A9B4" w14:textId="036DFE66" w:rsidR="003D5C15" w:rsidRDefault="003D5C15" w:rsidP="00085A3D">
      <w:pPr>
        <w:pStyle w:val="Textkrper"/>
      </w:pPr>
      <w:r>
        <w:t>Zur Festlegung der flächenspezifischen Luftdurchflussrate (q) werden bei einer Luftwechselrate (n) von 0,5 h-1 die fo</w:t>
      </w:r>
      <w:r w:rsidR="0057659F">
        <w:t>l</w:t>
      </w:r>
      <w:r>
        <w:t>genden Beladungsfaktoren (L) verwendet:</w:t>
      </w:r>
    </w:p>
    <w:p w14:paraId="70491A08" w14:textId="77777777" w:rsidR="003D5C15" w:rsidRDefault="003D5C15" w:rsidP="00085A3D">
      <w:pPr>
        <w:pStyle w:val="Aufzhlung"/>
      </w:pPr>
      <w:r>
        <w:t>1,0 m</w:t>
      </w:r>
      <w:r w:rsidRPr="005D10F9">
        <w:rPr>
          <w:vertAlign w:val="superscript"/>
        </w:rPr>
        <w:t>2</w:t>
      </w:r>
      <w:r>
        <w:t>/m</w:t>
      </w:r>
      <w:r w:rsidRPr="005D10F9">
        <w:rPr>
          <w:vertAlign w:val="superscript"/>
        </w:rPr>
        <w:t>3</w:t>
      </w:r>
      <w:r>
        <w:t xml:space="preserve"> für Wände</w:t>
      </w:r>
    </w:p>
    <w:p w14:paraId="3F789539" w14:textId="77777777" w:rsidR="003D5C15" w:rsidRDefault="003D5C15" w:rsidP="00085A3D">
      <w:pPr>
        <w:pStyle w:val="Aufzhlung"/>
      </w:pPr>
      <w:r>
        <w:t>0,4 m</w:t>
      </w:r>
      <w:r w:rsidRPr="005D10F9">
        <w:rPr>
          <w:vertAlign w:val="superscript"/>
        </w:rPr>
        <w:t>2</w:t>
      </w:r>
      <w:r>
        <w:t>/m</w:t>
      </w:r>
      <w:r w:rsidRPr="005D10F9">
        <w:rPr>
          <w:vertAlign w:val="superscript"/>
        </w:rPr>
        <w:t>3</w:t>
      </w:r>
      <w:r>
        <w:t xml:space="preserve"> für Boden oder Decke</w:t>
      </w:r>
    </w:p>
    <w:p w14:paraId="10019057" w14:textId="77777777" w:rsidR="003D5C15" w:rsidRDefault="003D5C15" w:rsidP="00085A3D">
      <w:pPr>
        <w:pStyle w:val="Aufzhlung"/>
      </w:pPr>
      <w:r>
        <w:t>0,05 m</w:t>
      </w:r>
      <w:r w:rsidRPr="005D10F9">
        <w:rPr>
          <w:vertAlign w:val="superscript"/>
        </w:rPr>
        <w:t>2</w:t>
      </w:r>
      <w:r>
        <w:t>/m</w:t>
      </w:r>
      <w:r w:rsidRPr="005D10F9">
        <w:rPr>
          <w:vertAlign w:val="superscript"/>
        </w:rPr>
        <w:t>3</w:t>
      </w:r>
      <w:r>
        <w:t xml:space="preserve"> für kleine Oberflächen, z. B. Reparaturspachtel, Klebebänder je nach Anwendung</w:t>
      </w:r>
    </w:p>
    <w:p w14:paraId="270B0AE9" w14:textId="77777777" w:rsidR="003D5C15" w:rsidRDefault="003D5C15" w:rsidP="00085A3D">
      <w:pPr>
        <w:pStyle w:val="Aufzhlung"/>
      </w:pPr>
      <w:r>
        <w:t>0,007 m</w:t>
      </w:r>
      <w:r w:rsidRPr="005D10F9">
        <w:rPr>
          <w:vertAlign w:val="superscript"/>
        </w:rPr>
        <w:t>2</w:t>
      </w:r>
      <w:r>
        <w:t>/m</w:t>
      </w:r>
      <w:r w:rsidRPr="005D10F9">
        <w:rPr>
          <w:vertAlign w:val="superscript"/>
        </w:rPr>
        <w:t>3</w:t>
      </w:r>
      <w:r>
        <w:t xml:space="preserve"> für sehr kleine Oberflächen, z. B. Dichtstoff, Dichtbänder</w:t>
      </w:r>
    </w:p>
    <w:p w14:paraId="6DAE540C" w14:textId="6A35BE56" w:rsidR="003D5C15" w:rsidRDefault="003D5C15" w:rsidP="00085A3D">
      <w:pPr>
        <w:pStyle w:val="Textkrper"/>
      </w:pPr>
      <w:r>
        <w:t>Vor der Beladung ist eine Blindwertbestimmung in der Kammer/ durchzuführen. Der Blindwert für die Einzelsubstanzen darf 2 μg/m</w:t>
      </w:r>
      <w:r w:rsidRPr="005D10F9">
        <w:rPr>
          <w:vertAlign w:val="superscript"/>
        </w:rPr>
        <w:t>3</w:t>
      </w:r>
      <w:r>
        <w:t>, für kanzerogene (C) Substanzen 0,5 μg/m</w:t>
      </w:r>
      <w:r w:rsidRPr="005D10F9">
        <w:rPr>
          <w:vertAlign w:val="superscript"/>
        </w:rPr>
        <w:t>3</w:t>
      </w:r>
      <w:r>
        <w:t xml:space="preserve"> nicht überschreiten. Die Summe der Blindwerte der Ei</w:t>
      </w:r>
      <w:r w:rsidR="004C4DFF">
        <w:t>n</w:t>
      </w:r>
      <w:r>
        <w:t>zelsubstanzen darf 10 μg/m</w:t>
      </w:r>
      <w:r w:rsidRPr="005D10F9">
        <w:rPr>
          <w:vertAlign w:val="superscript"/>
        </w:rPr>
        <w:t>3</w:t>
      </w:r>
      <w:r>
        <w:t xml:space="preserve"> nicht überschreiten. Für die Blindwertbestimmung der Prüfkammer ist der Adsorber-Blindwert zu ermitteln und abzuziehen.</w:t>
      </w:r>
    </w:p>
    <w:p w14:paraId="53DB5488" w14:textId="77777777" w:rsidR="003D5C15" w:rsidRDefault="003D5C15" w:rsidP="00085A3D">
      <w:pPr>
        <w:pStyle w:val="Textkrper"/>
      </w:pPr>
      <w:r>
        <w:t>Die Prüfkammermessung muss über den gesamten Prüfzeitraum durchgängig erfolgen, eine Auslagerung der Proben ist nicht zulässig.</w:t>
      </w:r>
    </w:p>
    <w:p w14:paraId="2046CF22" w14:textId="77777777" w:rsidR="003D5C15" w:rsidRPr="000D40F8" w:rsidRDefault="003D5C15" w:rsidP="00085A3D">
      <w:pPr>
        <w:pStyle w:val="Textkrperfett"/>
      </w:pPr>
      <w:r w:rsidRPr="000D40F8">
        <w:t>5</w:t>
      </w:r>
      <w:r>
        <w:tab/>
      </w:r>
      <w:r w:rsidRPr="000D40F8">
        <w:t>Luftprobenahme- und Analysenverfahren</w:t>
      </w:r>
    </w:p>
    <w:p w14:paraId="57850A24" w14:textId="77777777" w:rsidR="003D5C15" w:rsidRDefault="003D5C15" w:rsidP="00085A3D">
      <w:pPr>
        <w:pStyle w:val="Textkrper"/>
      </w:pPr>
      <w:r>
        <w:t>Für VOC und SVOC ist die Probenahme mittels Tenax bei anschließender Thermodesorption nach [2] und Auswertung mittels GC/MSD durchzuführen.</w:t>
      </w:r>
    </w:p>
    <w:p w14:paraId="25E2E929" w14:textId="77777777" w:rsidR="003D5C15" w:rsidRDefault="003D5C15" w:rsidP="00085A3D">
      <w:pPr>
        <w:pStyle w:val="Textkrper"/>
      </w:pPr>
      <w:r>
        <w:t>Für kurzkettige Aldehyde und Ketone erfolgt die Probenahme nach [3] mittels Kartuschen, die ein mit 2,4-Dinitrophenylhydrazin (DNPH) beschichtetes Sorbens enthalten. Die Desorption wird mit Acetonitril vorgenommen, die Trennung und Identifizierung mittels HPLC mit UV-Absorptionsdetektor oder Dioden-Array-Detektor. Bei Anwendung eines Dioden-Array-Detektor erfolgt die Quantifizierung bei 1 oder 2 signifikanten Wellenlängen (siehe DIN ISO 16000-3 [3]).</w:t>
      </w:r>
    </w:p>
    <w:p w14:paraId="0D179AD2" w14:textId="77777777" w:rsidR="003D5C15" w:rsidRDefault="003D5C15" w:rsidP="00085A3D">
      <w:pPr>
        <w:pStyle w:val="Textkrper"/>
      </w:pPr>
      <w:r>
        <w:lastRenderedPageBreak/>
        <w:t>Die Probenahmen für kurzkettige Carbonylverbindungen mittels DNPH-Kartuschen sind zeitgleich mit den Probenahmen mittels Tenax zur Bestimmung der VOC und SVOC durchzuführen, mindestens jedoch zu folgenden Zeitpunkten:</w:t>
      </w:r>
    </w:p>
    <w:p w14:paraId="5D9B245B" w14:textId="77777777" w:rsidR="003D5C15" w:rsidRDefault="003D5C15" w:rsidP="00085A3D">
      <w:pPr>
        <w:pStyle w:val="Listenabsatz"/>
      </w:pPr>
      <w:r>
        <w:t>3. Tag nach Beladung (72 + 3 h)</w:t>
      </w:r>
    </w:p>
    <w:p w14:paraId="23CEAE7F" w14:textId="77777777" w:rsidR="003D5C15" w:rsidRDefault="003D5C15" w:rsidP="00085A3D">
      <w:pPr>
        <w:pStyle w:val="Listenabsatz"/>
      </w:pPr>
      <w:r>
        <w:t>28. Tag nach Beladung (28 ± 2 d)</w:t>
      </w:r>
    </w:p>
    <w:p w14:paraId="4B090624" w14:textId="77777777" w:rsidR="003D5C15" w:rsidRDefault="003D5C15" w:rsidP="00085A3D">
      <w:pPr>
        <w:pStyle w:val="Textkrper"/>
      </w:pPr>
      <w:r>
        <w:t>Die Prüfung kann vorzeitig abgebrochen werden (frühestens am 7. Tag nach Beladung), wenn die zulässigen Emissionsendwerte des 28. Tages vorzeitig erreicht werden und im Vergleich zur Messung am 3. Tag für keine der nachzuweisenden Substanzen ein Konzentrationsanstieg feststellbar ist.</w:t>
      </w:r>
    </w:p>
    <w:p w14:paraId="343D8246" w14:textId="77777777" w:rsidR="003D5C15" w:rsidRDefault="003D5C15" w:rsidP="00085A3D">
      <w:pPr>
        <w:pStyle w:val="Textkrper"/>
      </w:pPr>
      <w:r>
        <w:t>Das im Anhang beschriebene Probenahme- und Analysenverfahren ist für ein breites Spektrum emittierbarer Verbindungen geeignet. Eine Auflistung von Verbindungen, die bei Emissionsmessungen von Bauprodukten auftreten können, ist DIN ISO 16000-6 (Anhang A) [2] zu entnehmen.</w:t>
      </w:r>
    </w:p>
    <w:p w14:paraId="36BB8030" w14:textId="77777777" w:rsidR="003D5C15" w:rsidRDefault="003D5C15" w:rsidP="00085A3D">
      <w:pPr>
        <w:pStyle w:val="Textkrper"/>
      </w:pPr>
      <w:r>
        <w:t>Es sind gemäß AgBB-Schema möglichst alle Substanzen zu identifizieren und mindestens die Stoffe mit NIK Wert l stoffspezifisch zu quantifizieren. Die Quantifizierungsgrenze muss, soweit technisch machbar, für jeden VOC und SVOC bei 1 μg/m</w:t>
      </w:r>
      <w:r w:rsidRPr="00E45B7E">
        <w:rPr>
          <w:vertAlign w:val="superscript"/>
        </w:rPr>
        <w:t>3</w:t>
      </w:r>
      <w:r>
        <w:t xml:space="preserve"> liegen. Karzinogene Substanzen der Kategorien CARC 1A und CARC 1B (nach Verordnung (EG) Nr. 1272/2008) und erbgutverändernde und fortpflanzungsgefährdende Substanzen, die Zielverbindungen sind, müssen, soweit erforderlich und technisch machbar, ab einer Konzentration von 1 μg/m</w:t>
      </w:r>
      <w:r w:rsidRPr="00E45B7E">
        <w:rPr>
          <w:vertAlign w:val="superscript"/>
        </w:rPr>
        <w:t>3</w:t>
      </w:r>
      <w:r>
        <w:t xml:space="preserve"> quantifiziert und angegeben werden. Für jeden Messtag ist die Summe (TVOC</w:t>
      </w:r>
      <w:r w:rsidRPr="00E45B7E">
        <w:rPr>
          <w:vertAlign w:val="subscript"/>
        </w:rPr>
        <w:t>spez.</w:t>
      </w:r>
      <w:r>
        <w:t xml:space="preserve"> ohne Essigsäure) aus allen identifizierten und mittels stoffspezifischer Kalibrierstandards quantifizierten Zielverbindungen, zuzüglich aller identifizierten Nicht-Zielverbindungen und aller nicht identifizierten Verbindungen, quantifiziert unter Verwendung des TIC Responsefaktors für Toluol mit &gt; 5μg/m</w:t>
      </w:r>
      <w:r w:rsidRPr="00E45B7E">
        <w:rPr>
          <w:vertAlign w:val="superscript"/>
        </w:rPr>
        <w:t>3</w:t>
      </w:r>
      <w:r>
        <w:t xml:space="preserve"> quantifizierten Werten zu bilden, deren Retentionszeit zwischen Hexan und Hexadekan liegt. Für schwerer flüchtige Verbindungen (SVOC), das heißt Verbindungen, deren Retentionszeit zwischen n-Hexadekan und n-Docosan ist, ist ebenfalls die Summe (TSVOC) aus allen identifizierten und mit &gt; 5μg/m</w:t>
      </w:r>
      <w:r w:rsidRPr="00E45B7E">
        <w:rPr>
          <w:vertAlign w:val="superscript"/>
        </w:rPr>
        <w:t>3</w:t>
      </w:r>
      <w:r>
        <w:t xml:space="preserve"> quantifizierten Werten zu bilden. SVOC mit NIK Wert werden mit in den TVOC</w:t>
      </w:r>
      <w:r w:rsidRPr="00E45B7E">
        <w:rPr>
          <w:vertAlign w:val="subscript"/>
        </w:rPr>
        <w:t>spez.</w:t>
      </w:r>
      <w:r>
        <w:t xml:space="preserve"> (ohne Essigsäure) eingerechnet und nicht in den TSVOC. Emissionen von Essigsäure werden nicht mit in den TVOC</w:t>
      </w:r>
      <w:r w:rsidRPr="00E45B7E">
        <w:rPr>
          <w:vertAlign w:val="subscript"/>
        </w:rPr>
        <w:t>spez.</w:t>
      </w:r>
      <w:r>
        <w:t xml:space="preserve"> (ohne Essigsäure) eingerechnet.</w:t>
      </w:r>
    </w:p>
    <w:p w14:paraId="52317339" w14:textId="77777777" w:rsidR="003D5C15" w:rsidRPr="000D40F8" w:rsidRDefault="003D5C15" w:rsidP="00085A3D">
      <w:pPr>
        <w:pStyle w:val="Textkrperfett"/>
      </w:pPr>
      <w:r w:rsidRPr="000D40F8">
        <w:t>6</w:t>
      </w:r>
      <w:r>
        <w:tab/>
      </w:r>
      <w:r w:rsidRPr="000D40F8">
        <w:t>Auswertung und Prüfbericht</w:t>
      </w:r>
    </w:p>
    <w:p w14:paraId="4E1E3DFA" w14:textId="77777777" w:rsidR="003D5C15" w:rsidRDefault="003D5C15" w:rsidP="00085A3D">
      <w:pPr>
        <w:pStyle w:val="Textkrper"/>
      </w:pPr>
      <w:r>
        <w:t>Die Messwerte werden auf die Standardbedingungen (bei Klebstoffen 300 g/m</w:t>
      </w:r>
      <w:r w:rsidRPr="00E45B7E">
        <w:rPr>
          <w:vertAlign w:val="superscript"/>
        </w:rPr>
        <w:t>2</w:t>
      </w:r>
      <w:r>
        <w:t>, bei Spachtelmassen 3 mm Schichtdicke, bei wässrigen Vorstrichen/Grundierungen 10 g/m</w:t>
      </w:r>
      <w:r w:rsidRPr="00E45B7E">
        <w:rPr>
          <w:vertAlign w:val="superscript"/>
        </w:rPr>
        <w:t>2</w:t>
      </w:r>
      <w:r>
        <w:t>, bei wasserfreien Vorstrichen/Grundierungen 100 g/m</w:t>
      </w:r>
      <w:r w:rsidRPr="00E45B7E">
        <w:rPr>
          <w:vertAlign w:val="superscript"/>
        </w:rPr>
        <w:t>2</w:t>
      </w:r>
      <w:r>
        <w:t>) wie folgt normiert:</w:t>
      </w:r>
    </w:p>
    <w:p w14:paraId="793C8BB7" w14:textId="77777777" w:rsidR="003D5C15" w:rsidRDefault="003D5C15" w:rsidP="00085A3D">
      <w:pPr>
        <w:pStyle w:val="Textkrper"/>
      </w:pPr>
      <w:r>
        <w:t>Klebstoffe, Vorstriche, Grundierungen:</w:t>
      </w:r>
    </w:p>
    <w:p w14:paraId="22C8DAE7" w14:textId="77777777" w:rsidR="003D5C15" w:rsidRDefault="003D5C15" w:rsidP="00085A3D">
      <w:pPr>
        <w:pStyle w:val="Textkrper"/>
      </w:pPr>
      <w:r>
        <w:t>Ergebnis (μg/m</w:t>
      </w:r>
      <w:r w:rsidRPr="00E45B7E">
        <w:rPr>
          <w:vertAlign w:val="superscript"/>
        </w:rPr>
        <w:t>3</w:t>
      </w:r>
      <w:r>
        <w:t>) = Messwert (μg/m</w:t>
      </w:r>
      <w:r w:rsidRPr="00E45B7E">
        <w:rPr>
          <w:vertAlign w:val="superscript"/>
        </w:rPr>
        <w:t>3</w:t>
      </w:r>
      <w:r>
        <w:t>) x Standardauftrag (g/m</w:t>
      </w:r>
      <w:r w:rsidRPr="00E45B7E">
        <w:rPr>
          <w:vertAlign w:val="superscript"/>
        </w:rPr>
        <w:t>2</w:t>
      </w:r>
      <w:r>
        <w:t>) / realer Auftrag (g/m</w:t>
      </w:r>
      <w:r w:rsidRPr="00E45B7E">
        <w:rPr>
          <w:vertAlign w:val="superscript"/>
        </w:rPr>
        <w:t>2</w:t>
      </w:r>
      <w:r>
        <w:t>)</w:t>
      </w:r>
    </w:p>
    <w:p w14:paraId="0E82874B" w14:textId="77777777" w:rsidR="003D5C15" w:rsidRDefault="003D5C15" w:rsidP="00085A3D">
      <w:pPr>
        <w:pStyle w:val="Textkrper"/>
      </w:pPr>
      <w:r>
        <w:t>Spachtelmassen:</w:t>
      </w:r>
    </w:p>
    <w:p w14:paraId="408D04A3" w14:textId="77777777" w:rsidR="003D5C15" w:rsidRDefault="003D5C15" w:rsidP="00085A3D">
      <w:pPr>
        <w:pStyle w:val="Textkrper"/>
      </w:pPr>
      <w:r>
        <w:t>Ergebnis (μg/m</w:t>
      </w:r>
      <w:r w:rsidRPr="00E45B7E">
        <w:rPr>
          <w:vertAlign w:val="superscript"/>
        </w:rPr>
        <w:t>3</w:t>
      </w:r>
      <w:r>
        <w:t>) = Messwert (μg/m</w:t>
      </w:r>
      <w:r w:rsidRPr="00E45B7E">
        <w:rPr>
          <w:vertAlign w:val="superscript"/>
        </w:rPr>
        <w:t>3</w:t>
      </w:r>
      <w:r>
        <w:t>) x 3 (mm) / reale Schichtstärke (mm)</w:t>
      </w:r>
    </w:p>
    <w:p w14:paraId="7CF7CA7C" w14:textId="18813A55" w:rsidR="003D5C15" w:rsidRDefault="003D5C15" w:rsidP="00085A3D">
      <w:pPr>
        <w:pStyle w:val="Textkrper"/>
      </w:pPr>
      <w:r>
        <w:t>Es sind möglichst alle Verbindungen mit einer Konzentration ≥ 1 μg/m</w:t>
      </w:r>
      <w:r w:rsidRPr="00E45B7E">
        <w:rPr>
          <w:vertAlign w:val="superscript"/>
        </w:rPr>
        <w:t>3</w:t>
      </w:r>
      <w:r>
        <w:t xml:space="preserve"> zu identifizieren und mit Angabe ihrer CAS-Nr. auszuweisen. Einzelsubstanzen mit einer Konzentration ≥ 5 μg/m</w:t>
      </w:r>
      <w:r w:rsidRPr="00E45B7E">
        <w:rPr>
          <w:vertAlign w:val="superscript"/>
        </w:rPr>
        <w:t>3</w:t>
      </w:r>
      <w:r>
        <w:t xml:space="preserve"> sind mit ihren Konzentrationswerten anzugeben. Werden die emittierten Substanzen auch im in gleicher Weise ermittelten Blindwert nachgewiesen (max. 2 μg/m</w:t>
      </w:r>
      <w:r w:rsidRPr="00E45B7E">
        <w:rPr>
          <w:vertAlign w:val="superscript"/>
        </w:rPr>
        <w:t>3</w:t>
      </w:r>
      <w:r>
        <w:t>, bzw. 0,5 μg/m</w:t>
      </w:r>
      <w:r w:rsidRPr="00E45B7E">
        <w:rPr>
          <w:vertAlign w:val="superscript"/>
        </w:rPr>
        <w:t>3</w:t>
      </w:r>
      <w:r>
        <w:t xml:space="preserve"> für C-Stoffe), so ist aus Gründen der Verfahrensvereinfachung der Blindwert vom ermittelten Konzentrationswert des Prüfkörpers abzuziehen. Für die Gesamtkonzentration und die Konzentration der Einzelsubstanzen sind mindestens die am 3. und 28. Tag ermittelten Konzentrationswerte anzugeben.</w:t>
      </w:r>
    </w:p>
    <w:p w14:paraId="491FFF1E" w14:textId="1CC04F4F" w:rsidR="003D5C15" w:rsidRDefault="003D5C15" w:rsidP="00085A3D">
      <w:pPr>
        <w:pStyle w:val="Textkrper"/>
      </w:pPr>
      <w:r>
        <w:t>Für die Bewertung der identifizierten VOC, deren Konzentration mehr als 5 μg/m</w:t>
      </w:r>
      <w:r w:rsidRPr="00E45B7E">
        <w:rPr>
          <w:vertAlign w:val="superscript"/>
        </w:rPr>
        <w:t>3</w:t>
      </w:r>
      <w:r>
        <w:t xml:space="preserve"> beträgt, ist der Quotient aus dem Konzentrationswert und dem sogenannten NIK-Wert (vgl. [</w:t>
      </w:r>
      <w:r w:rsidR="00A83D70">
        <w:t>5</w:t>
      </w:r>
      <w:r>
        <w:t>]) gemäß folgender Berechnungsformel zu ermitteln:</w:t>
      </w:r>
    </w:p>
    <w:p w14:paraId="6B8AF657" w14:textId="77777777" w:rsidR="003D5C15" w:rsidRDefault="003D5C15" w:rsidP="00085A3D">
      <w:pPr>
        <w:pStyle w:val="Textkrper"/>
      </w:pPr>
      <w:r>
        <w:t xml:space="preserve">R = </w:t>
      </w:r>
      <w:r w:rsidRPr="0086084D">
        <w:t>Σ</w:t>
      </w:r>
      <w:r>
        <w:t xml:space="preserve"> C</w:t>
      </w:r>
      <w:r w:rsidRPr="0086084D">
        <w:rPr>
          <w:vertAlign w:val="subscript"/>
        </w:rPr>
        <w:t>i</w:t>
      </w:r>
      <w:r>
        <w:t>/NIK</w:t>
      </w:r>
      <w:r w:rsidRPr="0086084D">
        <w:rPr>
          <w:vertAlign w:val="subscript"/>
        </w:rPr>
        <w:t>i</w:t>
      </w:r>
    </w:p>
    <w:p w14:paraId="4D195CA5" w14:textId="12DDD1BF" w:rsidR="003D5C15" w:rsidRDefault="003D5C15" w:rsidP="00085A3D">
      <w:pPr>
        <w:pStyle w:val="Textkrper"/>
      </w:pPr>
      <w:r>
        <w:t>Die in die Berechnungsformel einzusetzenden NIK-Werte sind der Tabelle in [</w:t>
      </w:r>
      <w:r w:rsidR="00A83D70">
        <w:t>5</w:t>
      </w:r>
      <w:r>
        <w:t>] zu entnehmen.</w:t>
      </w:r>
    </w:p>
    <w:p w14:paraId="6103F54A" w14:textId="77777777" w:rsidR="003D5C15" w:rsidRDefault="003D5C15" w:rsidP="00085A3D">
      <w:pPr>
        <w:pStyle w:val="Textkrper"/>
      </w:pPr>
      <w:r>
        <w:t>Im Prüfbericht sind die vollständige Prüfung sowie die vollständige Auswertung für das Produkt zu dokumentieren.</w:t>
      </w:r>
    </w:p>
    <w:p w14:paraId="6FE5FF6E" w14:textId="48027120" w:rsidR="003D5C15" w:rsidRDefault="003D5C15" w:rsidP="00085A3D">
      <w:pPr>
        <w:pStyle w:val="Textkrper"/>
      </w:pPr>
      <w:r>
        <w:t>Hierbei sind insbesondere folgende Angaben aufzunehmen:</w:t>
      </w:r>
    </w:p>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9628"/>
      </w:tblGrid>
      <w:tr w:rsidR="004C4DFF" w14:paraId="16023C44" w14:textId="77777777" w:rsidTr="004C4DFF">
        <w:tc>
          <w:tcPr>
            <w:tcW w:w="9628" w:type="dxa"/>
            <w:shd w:val="clear" w:color="auto" w:fill="D9D9D9" w:themeFill="background1" w:themeFillShade="D9"/>
          </w:tcPr>
          <w:p w14:paraId="0C373825" w14:textId="77777777" w:rsidR="004C4DFF" w:rsidRDefault="004C4DFF" w:rsidP="00085A3D">
            <w:pPr>
              <w:pStyle w:val="Textkrper"/>
            </w:pPr>
            <w:r>
              <w:lastRenderedPageBreak/>
              <w:t>Hersteller,</w:t>
            </w:r>
          </w:p>
          <w:p w14:paraId="3D7195A5" w14:textId="77777777" w:rsidR="004C4DFF" w:rsidRDefault="004C4DFF" w:rsidP="00085A3D">
            <w:pPr>
              <w:pStyle w:val="Textkrper"/>
            </w:pPr>
            <w:r>
              <w:t>Genaue Produktbezeichnung (incl. Charge, Produktionsdatum, Festkörpergehalt (bei Vorstrichen, Grundierungen),</w:t>
            </w:r>
          </w:p>
          <w:p w14:paraId="4986A93E" w14:textId="77777777" w:rsidR="004C4DFF" w:rsidRDefault="004C4DFF" w:rsidP="00085A3D">
            <w:pPr>
              <w:pStyle w:val="Textkrper"/>
            </w:pPr>
            <w:r>
              <w:t>Herstelldatum, Eingangsdatum,</w:t>
            </w:r>
          </w:p>
          <w:p w14:paraId="4E17823E" w14:textId="77777777" w:rsidR="004C4DFF" w:rsidRDefault="004C4DFF" w:rsidP="00085A3D">
            <w:pPr>
              <w:pStyle w:val="Textkrper"/>
            </w:pPr>
            <w:r>
              <w:t>Art der Verpackung,</w:t>
            </w:r>
          </w:p>
          <w:p w14:paraId="76EC72BD" w14:textId="77777777" w:rsidR="004C4DFF" w:rsidRDefault="004C4DFF" w:rsidP="00085A3D">
            <w:pPr>
              <w:pStyle w:val="Textkrper"/>
            </w:pPr>
            <w:r>
              <w:t>Untersuchungsdatum/-zeitraum,</w:t>
            </w:r>
          </w:p>
          <w:p w14:paraId="67FAC447" w14:textId="77777777" w:rsidR="004C4DFF" w:rsidRDefault="004C4DFF" w:rsidP="00085A3D">
            <w:pPr>
              <w:pStyle w:val="Textkrper"/>
            </w:pPr>
            <w:r>
              <w:t>Herstellung der Prüfstücke (Abmessungen, ggf. Mischvorgang, Auftragsmenge, Art des Auftragsverfahrens {verwendetes Auftragsgerät}),</w:t>
            </w:r>
          </w:p>
          <w:p w14:paraId="1A48CF4E" w14:textId="77777777" w:rsidR="004C4DFF" w:rsidRDefault="004C4DFF" w:rsidP="00085A3D">
            <w:pPr>
              <w:pStyle w:val="Textkrper"/>
            </w:pPr>
            <w:r>
              <w:t>Untersuchungsbedingungen (Typ und Größe Kammer, Temperatur, relative Luftfeuchtigkeit, Luftwechsel bzw. Luftvolumenstrom, Raumbeladung, flächenspezifische Luftdurchflussrate, Zeitpunkt und Dauer der Luftprobenahme, Volumen und Volumenstrom der Luftprobenahme),</w:t>
            </w:r>
          </w:p>
          <w:p w14:paraId="7645B24F" w14:textId="41B1B179" w:rsidR="004C4DFF" w:rsidRDefault="004C4DFF" w:rsidP="00085A3D">
            <w:pPr>
              <w:pStyle w:val="Textkrper"/>
            </w:pPr>
            <w:r>
              <w:t>Name, CAS-Nr. und Konzentration der identifizierten VOC, sowie Konzentration der nicht identifizierten VOC, vom 3. und 28. Tag und deren Summe (TVOC</w:t>
            </w:r>
            <w:r w:rsidRPr="008F6D88">
              <w:rPr>
                <w:vertAlign w:val="subscript"/>
              </w:rPr>
              <w:t>DE-UZ</w:t>
            </w:r>
            <w:r w:rsidR="003A1201" w:rsidRPr="008F6D88">
              <w:rPr>
                <w:vertAlign w:val="subscript"/>
              </w:rPr>
              <w:t xml:space="preserve"> </w:t>
            </w:r>
            <w:r w:rsidRPr="008F6D88">
              <w:rPr>
                <w:vertAlign w:val="subscript"/>
              </w:rPr>
              <w:t>113</w:t>
            </w:r>
            <w:r>
              <w:t>),</w:t>
            </w:r>
          </w:p>
          <w:p w14:paraId="6AD66BC5" w14:textId="39A2AD80" w:rsidR="004C4DFF" w:rsidRDefault="004C4DFF" w:rsidP="00085A3D">
            <w:pPr>
              <w:pStyle w:val="Textkrper"/>
            </w:pPr>
            <w:r>
              <w:t>Name, CAS-Nr. und Konzentration der identifizierten SVOC, sowie Konzentration der nicht identifizierten SVOC vom 28. Tag und deren Summe (TSVOC</w:t>
            </w:r>
            <w:r w:rsidRPr="008F6D88">
              <w:rPr>
                <w:vertAlign w:val="subscript"/>
              </w:rPr>
              <w:t>DE-UZ</w:t>
            </w:r>
            <w:r w:rsidR="003A1201" w:rsidRPr="008F6D88">
              <w:rPr>
                <w:vertAlign w:val="subscript"/>
              </w:rPr>
              <w:t xml:space="preserve"> </w:t>
            </w:r>
            <w:r w:rsidRPr="008F6D88">
              <w:rPr>
                <w:vertAlign w:val="subscript"/>
              </w:rPr>
              <w:t>113</w:t>
            </w:r>
            <w:r>
              <w:t>),</w:t>
            </w:r>
          </w:p>
          <w:p w14:paraId="3EF15423" w14:textId="77777777" w:rsidR="004C4DFF" w:rsidRDefault="004C4DFF" w:rsidP="00085A3D">
            <w:pPr>
              <w:pStyle w:val="Textkrper"/>
            </w:pPr>
            <w:r>
              <w:t>Name, CAS-Nr. und Konzentration der identifizierten C-Stoffe, und deren Summe, vom 3. und 28. Tag,</w:t>
            </w:r>
          </w:p>
          <w:p w14:paraId="4B358806" w14:textId="77777777" w:rsidR="004C4DFF" w:rsidRDefault="004C4DFF" w:rsidP="00085A3D">
            <w:pPr>
              <w:pStyle w:val="Textkrper"/>
            </w:pPr>
            <w:r>
              <w:t>Berechneter R-Wert vom 28. Tag,</w:t>
            </w:r>
          </w:p>
          <w:p w14:paraId="38B86B89" w14:textId="0415F854" w:rsidR="004C4DFF" w:rsidRDefault="004C4DFF" w:rsidP="00085A3D">
            <w:pPr>
              <w:pStyle w:val="Textkrper"/>
            </w:pPr>
            <w:r>
              <w:t>Name, CAS-Nr. und Konzentration der kurzkettigen Carbonylverbindungen mit NIK-Wert vom 28. Tag (Bestimmung nach DIN ISO 16000-3). Angabe der Formaldehyd- und Acetaldehyd-Konzentration nach 72 Stunden.</w:t>
            </w:r>
          </w:p>
        </w:tc>
      </w:tr>
    </w:tbl>
    <w:p w14:paraId="0398E0E8" w14:textId="77777777" w:rsidR="003D5C15" w:rsidRPr="000D40F8" w:rsidRDefault="003D5C15" w:rsidP="00085A3D">
      <w:pPr>
        <w:pStyle w:val="Textkrperfett"/>
      </w:pPr>
      <w:r w:rsidRPr="000D40F8">
        <w:t>7</w:t>
      </w:r>
      <w:r>
        <w:tab/>
      </w:r>
      <w:r w:rsidRPr="000D40F8">
        <w:t>Prüfinstitute</w:t>
      </w:r>
    </w:p>
    <w:p w14:paraId="1AF8C7E0" w14:textId="77777777" w:rsidR="003D5C15" w:rsidRPr="00F05BEE" w:rsidRDefault="003D5C15" w:rsidP="00085A3D">
      <w:pPr>
        <w:pStyle w:val="Textkrper"/>
      </w:pPr>
      <w:r w:rsidRPr="00F05BEE">
        <w:t>Die Emissionsprüfung darf nur von geeigneten Instituten durchgeführt werden.</w:t>
      </w:r>
    </w:p>
    <w:p w14:paraId="55189A91" w14:textId="77777777" w:rsidR="003D5C15" w:rsidRPr="00F05BEE" w:rsidRDefault="003D5C15" w:rsidP="00085A3D">
      <w:pPr>
        <w:pStyle w:val="Textkrper"/>
      </w:pPr>
      <w:r w:rsidRPr="00F05BEE">
        <w:t>Prüfinstitute sind als geeignet anzusehen, wenn sie über die notwendigen apparativen Einrichtungen und ein Qualitätsmanagementsystem verfügen (bzw. für den Bereich dieser Prüfungen akkreditiert sind) und über die erfolgreiche Teilnahme an einschlägigen Rundversuchen ihre Befähigung zur Durchführung dieser Prüfungen nachgewiesen haben. Der Nachweis über die Einhaltung dieser Anforderungen ist gegenüber der Bundesanstalt für Materialforschung und -prüfung, Fachgruppe „Umweltrelevante Material- und Produkteigenschaften/Emissionen aus Materialien“, zu erbringen.</w:t>
      </w:r>
    </w:p>
    <w:p w14:paraId="2BEE7D60" w14:textId="77777777" w:rsidR="003D5C15" w:rsidRPr="000D40F8" w:rsidRDefault="003D5C15" w:rsidP="00085A3D">
      <w:pPr>
        <w:pStyle w:val="Textkrperfett"/>
      </w:pPr>
      <w:r w:rsidRPr="000D40F8">
        <w:t>8</w:t>
      </w:r>
      <w:r>
        <w:tab/>
      </w:r>
      <w:r w:rsidRPr="000D40F8">
        <w:t>Literatur</w:t>
      </w:r>
    </w:p>
    <w:p w14:paraId="774C9766" w14:textId="77777777" w:rsidR="003D5C15" w:rsidRPr="00387543" w:rsidRDefault="003D5C15" w:rsidP="00085A3D">
      <w:pPr>
        <w:pStyle w:val="Textkrper"/>
      </w:pPr>
      <w:r>
        <w:t xml:space="preserve">[1] </w:t>
      </w:r>
      <w:r w:rsidRPr="00387543">
        <w:t>DIN EN 16516: Bauprodukte – Bewertung der Freisetzung von gefährlichen Stoffen – Bestimmung von Emissionen in die Innenraumluft; Deutsche Fassung EN 16516:2017</w:t>
      </w:r>
      <w:r>
        <w:t>.</w:t>
      </w:r>
    </w:p>
    <w:p w14:paraId="505927DA" w14:textId="77777777" w:rsidR="003D5C15" w:rsidRPr="00387543" w:rsidRDefault="003D5C15" w:rsidP="00085A3D">
      <w:pPr>
        <w:pStyle w:val="Textkrper"/>
      </w:pPr>
      <w:r>
        <w:t xml:space="preserve">[2] </w:t>
      </w:r>
      <w:r w:rsidRPr="00387543">
        <w:t xml:space="preserve">DIN ISO 16000-6: Innenraumluftverunreinigungen. Teil 6: Bestimmung von VOC in der Innenraumluft und in Prüfkammern. Probenahme auf TENAX TA, thermische Desorption und Gaschromatographie/MSD bzw. FID (ISO/DIS 16000-6). </w:t>
      </w:r>
    </w:p>
    <w:p w14:paraId="075AC385" w14:textId="77777777" w:rsidR="003D5C15" w:rsidRPr="00387543" w:rsidRDefault="003D5C15" w:rsidP="00085A3D">
      <w:pPr>
        <w:pStyle w:val="Textkrper"/>
      </w:pPr>
      <w:r>
        <w:t xml:space="preserve">[3] </w:t>
      </w:r>
      <w:r w:rsidRPr="00387543">
        <w:t xml:space="preserve">DIN ISO 16000-3: Innenraumluftverunreinigungen. Teil 3: Messen von Formaldehyd und anderen Carbonylverbindungen. Probenahme mit einer Pumpe (ISO/DIS 16000-3). </w:t>
      </w:r>
    </w:p>
    <w:p w14:paraId="400B7951" w14:textId="77777777" w:rsidR="003D5C15" w:rsidRPr="00387543" w:rsidRDefault="003D5C15" w:rsidP="00085A3D">
      <w:pPr>
        <w:pStyle w:val="Textkrper"/>
      </w:pPr>
      <w:r>
        <w:t xml:space="preserve">[4] </w:t>
      </w:r>
      <w:r w:rsidRPr="00387543">
        <w:t xml:space="preserve">Untersuchung und Ermittlung emissionsarmer Klebstoffe und Bodenbeläge. UBA-Projekt-Nr. 298 95 308, UBA-Texte 27/03, Umweltbundesamt, Berlin, 2003. </w:t>
      </w:r>
    </w:p>
    <w:p w14:paraId="51FC752E" w14:textId="45892808" w:rsidR="003268E2" w:rsidRPr="00D63543" w:rsidRDefault="003D5C15" w:rsidP="00085A3D">
      <w:pPr>
        <w:pStyle w:val="Textkrper"/>
      </w:pPr>
      <w:r w:rsidRPr="004C4DFF">
        <w:t xml:space="preserve">[5] AgBB-Schema: "Vorgehensweise bei der gesundheitlichen Bewertung der Emissionen von flüchtigen organischen Verbindungen (VOC) aus Bauprodukten", Homepage Umweltbundesamt, </w:t>
      </w:r>
      <w:hyperlink r:id="rId16" w:anchor="textpart-1" w:history="1">
        <w:r w:rsidRPr="004C4DFF">
          <w:t xml:space="preserve">http://www.umweltbundesamt.de/themen/gesundheit/kommissionen-arbeitsgruppen/ausschuss-zur-gesundheitlichen-bewertung-von#textpart-1 </w:t>
        </w:r>
      </w:hyperlink>
    </w:p>
    <w:sectPr w:rsidR="003268E2" w:rsidRPr="00D63543" w:rsidSect="00A35B3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6150" w14:textId="77777777" w:rsidR="00B92EFB" w:rsidRDefault="00B92EFB">
      <w:r>
        <w:separator/>
      </w:r>
    </w:p>
    <w:p w14:paraId="06B7E633" w14:textId="77777777" w:rsidR="00B92EFB" w:rsidRDefault="00B92EFB"/>
    <w:p w14:paraId="5806E57A" w14:textId="77777777" w:rsidR="00B92EFB" w:rsidRDefault="00B92EFB"/>
    <w:p w14:paraId="1B9E66F1" w14:textId="77777777" w:rsidR="00B92EFB" w:rsidRDefault="00B92EFB"/>
    <w:p w14:paraId="26DFFB6D" w14:textId="77777777" w:rsidR="00B92EFB" w:rsidRDefault="00B92EFB"/>
  </w:endnote>
  <w:endnote w:type="continuationSeparator" w:id="0">
    <w:p w14:paraId="6EBA98EE" w14:textId="77777777" w:rsidR="00B92EFB" w:rsidRDefault="00B92EFB">
      <w:r>
        <w:continuationSeparator/>
      </w:r>
    </w:p>
    <w:p w14:paraId="0789CB97" w14:textId="77777777" w:rsidR="00B92EFB" w:rsidRDefault="00B92EFB"/>
    <w:p w14:paraId="4C540D56" w14:textId="77777777" w:rsidR="00B92EFB" w:rsidRDefault="00B92EFB"/>
    <w:p w14:paraId="4F907FE5" w14:textId="77777777" w:rsidR="00B92EFB" w:rsidRDefault="00B92EFB"/>
    <w:p w14:paraId="7587645B" w14:textId="77777777" w:rsidR="00B92EFB" w:rsidRDefault="00B9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w:altName w:val="Arial"/>
    <w:panose1 w:val="020B0604030101020102"/>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2B0845" w:rsidRPr="003213E9" w:rsidRDefault="002B0845"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595AE467" w14:textId="77777777" w:rsidR="002B0845" w:rsidRDefault="002B0845" w:rsidP="003213E9">
    <w:pPr>
      <w:pStyle w:val="Fuzeile"/>
      <w:jc w:val="left"/>
    </w:pPr>
  </w:p>
  <w:p w14:paraId="0EF93084" w14:textId="77777777" w:rsidR="002B0845" w:rsidRDefault="002B0845"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7980AD"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77777777" w:rsidR="002B0845" w:rsidRPr="003213E9" w:rsidRDefault="002B084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76085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4</w:t>
        </w:r>
        <w:r w:rsidRPr="003213E9">
          <w:rPr>
            <w:noProof/>
          </w:rPr>
          <w:fldChar w:fldCharType="end"/>
        </w:r>
      </w:p>
    </w:sdtContent>
  </w:sdt>
  <w:p w14:paraId="44E8E200" w14:textId="77777777" w:rsidR="002B0845" w:rsidRPr="004B3601" w:rsidRDefault="002B0845" w:rsidP="002946A5">
    <w:pPr>
      <w:pStyle w:val="Fuzeile"/>
    </w:pPr>
  </w:p>
  <w:p w14:paraId="3532F56A" w14:textId="77777777" w:rsidR="002B0845" w:rsidRDefault="002B08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C336A" w14:textId="77777777" w:rsidR="00B92EFB" w:rsidRPr="00EF48A2" w:rsidRDefault="00B92EFB" w:rsidP="00EF48A2">
      <w:pPr>
        <w:pStyle w:val="Fuzeile"/>
        <w:pBdr>
          <w:bottom w:val="single" w:sz="6" w:space="1" w:color="auto"/>
        </w:pBdr>
        <w:spacing w:line="240" w:lineRule="auto"/>
        <w:ind w:right="-23"/>
        <w:rPr>
          <w:sz w:val="2"/>
          <w:szCs w:val="2"/>
        </w:rPr>
      </w:pPr>
    </w:p>
    <w:p w14:paraId="781D303D" w14:textId="77777777" w:rsidR="00B92EFB" w:rsidRDefault="00B92EFB"/>
  </w:footnote>
  <w:footnote w:type="continuationSeparator" w:id="0">
    <w:p w14:paraId="63CAA8B5" w14:textId="77777777" w:rsidR="00B92EFB" w:rsidRDefault="00B92EFB">
      <w:r>
        <w:continuationSeparator/>
      </w:r>
    </w:p>
    <w:p w14:paraId="70B71080" w14:textId="77777777" w:rsidR="00B92EFB" w:rsidRDefault="00B92EFB"/>
    <w:p w14:paraId="3A00FC28" w14:textId="77777777" w:rsidR="00B92EFB" w:rsidRDefault="00B92EFB"/>
    <w:p w14:paraId="52D65589" w14:textId="77777777" w:rsidR="00B92EFB" w:rsidRDefault="00B92EFB"/>
    <w:p w14:paraId="039C3BCB" w14:textId="77777777" w:rsidR="00B92EFB" w:rsidRDefault="00B92EFB"/>
  </w:footnote>
  <w:footnote w:id="1">
    <w:p w14:paraId="03DADD77" w14:textId="77777777" w:rsidR="002B0845" w:rsidRDefault="002B0845" w:rsidP="00085A3D">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2B0845" w:rsidRDefault="002B0845" w:rsidP="00085A3D">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515A61B1" w14:textId="77777777" w:rsidR="002B0845" w:rsidRDefault="002B08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2882CF48" w:rsidR="002B0845" w:rsidRPr="0084338A" w:rsidRDefault="002B0845" w:rsidP="00085A3D">
    <w:pPr>
      <w:pStyle w:val="Kopfzeile"/>
    </w:pPr>
    <w:r w:rsidRPr="00FA4D2B">
      <w:t>Anbieterfragebogen zur umweltf</w:t>
    </w:r>
    <w:r>
      <w:t xml:space="preserve">reundlichen öffentlichen Beschaffung </w:t>
    </w:r>
    <w:sdt>
      <w:sdtPr>
        <w:id w:val="258036152"/>
        <w:placeholder>
          <w:docPart w:val="EE8AC5C56FBF45DCA6903D009E9B61DA"/>
        </w:placeholder>
      </w:sdtPr>
      <w:sdtEndPr/>
      <w:sdtContent>
        <w:sdt>
          <w:sdtPr>
            <w:id w:val="-1194147168"/>
            <w:placeholder>
              <w:docPart w:val="D0958ABF9CBF45F490931F18F9C03557"/>
            </w:placeholder>
          </w:sdtPr>
          <w:sdtEndPr/>
          <w:sdtContent>
            <w:r>
              <w:t>vom e</w:t>
            </w:r>
            <w:r w:rsidRPr="00103F32">
              <w:t>missionsarme</w:t>
            </w:r>
            <w:r>
              <w:t>n</w:t>
            </w:r>
            <w:r w:rsidRPr="00103F32">
              <w:t xml:space="preserve"> Bodenbelagsklebstoffe</w:t>
            </w:r>
            <w:r>
              <w:t>n</w:t>
            </w:r>
            <w:r w:rsidRPr="00103F32">
              <w:t xml:space="preserve"> und andere</w:t>
            </w:r>
            <w:r>
              <w:t>n</w:t>
            </w:r>
            <w:r w:rsidRPr="00103F32">
              <w:t xml:space="preserve"> </w:t>
            </w:r>
            <w:r>
              <w:br/>
            </w:r>
            <w:r w:rsidRPr="00103F32">
              <w:t>Verlegewerkstoffe</w:t>
            </w:r>
          </w:sdtContent>
        </w:sdt>
      </w:sdtContent>
    </w:sdt>
    <w:r>
      <w:t>n</w:t>
    </w:r>
  </w:p>
  <w:p w14:paraId="5765BC3E" w14:textId="77777777" w:rsidR="002B0845" w:rsidRPr="00BE28DD" w:rsidRDefault="002B0845"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123001F4"/>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346C74F6"/>
    <w:lvl w:ilvl="0" w:tplc="949252DC">
      <w:start w:val="1"/>
      <w:numFmt w:val="bullet"/>
      <w:pStyle w:val="Aufzhlung"/>
      <w:lvlText w:val="►"/>
      <w:lvlJc w:val="left"/>
      <w:pPr>
        <w:ind w:left="1431" w:hanging="360"/>
      </w:pPr>
      <w:rPr>
        <w:rFonts w:ascii="Arial" w:hAnsi="Arial" w:hint="default"/>
        <w:sz w:val="16"/>
      </w:rPr>
    </w:lvl>
    <w:lvl w:ilvl="1" w:tplc="C47AF86A">
      <w:start w:val="1"/>
      <w:numFmt w:val="decimal"/>
      <w:lvlText w:val="%2."/>
      <w:lvlJc w:val="left"/>
      <w:pPr>
        <w:tabs>
          <w:tab w:val="num" w:pos="2154"/>
        </w:tabs>
        <w:ind w:left="2154" w:hanging="360"/>
      </w:pPr>
      <w:rPr>
        <w:rFonts w:hint="default"/>
      </w:rPr>
    </w:lvl>
    <w:lvl w:ilvl="2" w:tplc="04070005">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30F31983"/>
    <w:multiLevelType w:val="hybridMultilevel"/>
    <w:tmpl w:val="F6FE1CE4"/>
    <w:lvl w:ilvl="0" w:tplc="9A7AD856">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3F51BC"/>
    <w:multiLevelType w:val="multilevel"/>
    <w:tmpl w:val="42041D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B04874"/>
    <w:multiLevelType w:val="multilevel"/>
    <w:tmpl w:val="A3F0AB36"/>
    <w:lvl w:ilvl="0">
      <w:start w:val="1"/>
      <w:numFmt w:val="bullet"/>
      <w:lvlText w:val="►"/>
      <w:lvlJc w:val="left"/>
      <w:pPr>
        <w:ind w:left="357" w:hanging="357"/>
      </w:pPr>
      <w:rPr>
        <w:rFonts w:ascii="Arial" w:hAnsi="Arial"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21"/>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8"/>
  </w:num>
  <w:num w:numId="21">
    <w:abstractNumId w:val="13"/>
  </w:num>
  <w:num w:numId="22">
    <w:abstractNumId w:val="16"/>
  </w:num>
  <w:num w:numId="23">
    <w:abstractNumId w:val="20"/>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16BED"/>
    <w:rsid w:val="0002188A"/>
    <w:rsid w:val="000226CF"/>
    <w:rsid w:val="00022C17"/>
    <w:rsid w:val="00023AB6"/>
    <w:rsid w:val="0002776D"/>
    <w:rsid w:val="00036554"/>
    <w:rsid w:val="00040C47"/>
    <w:rsid w:val="00041401"/>
    <w:rsid w:val="000426FA"/>
    <w:rsid w:val="000429B6"/>
    <w:rsid w:val="000431E7"/>
    <w:rsid w:val="00043854"/>
    <w:rsid w:val="00045257"/>
    <w:rsid w:val="00053469"/>
    <w:rsid w:val="00056FCF"/>
    <w:rsid w:val="00060C20"/>
    <w:rsid w:val="0006347E"/>
    <w:rsid w:val="00063A9E"/>
    <w:rsid w:val="000654B0"/>
    <w:rsid w:val="00065B9E"/>
    <w:rsid w:val="000660D1"/>
    <w:rsid w:val="000705BD"/>
    <w:rsid w:val="00076A92"/>
    <w:rsid w:val="000842CD"/>
    <w:rsid w:val="00085A3D"/>
    <w:rsid w:val="000874D3"/>
    <w:rsid w:val="000A0D87"/>
    <w:rsid w:val="000A2D77"/>
    <w:rsid w:val="000B1053"/>
    <w:rsid w:val="000B3537"/>
    <w:rsid w:val="000C0D0C"/>
    <w:rsid w:val="000C4C90"/>
    <w:rsid w:val="000D3E52"/>
    <w:rsid w:val="000D61C9"/>
    <w:rsid w:val="000E73D8"/>
    <w:rsid w:val="00103F32"/>
    <w:rsid w:val="00104492"/>
    <w:rsid w:val="00110B8C"/>
    <w:rsid w:val="00114FA1"/>
    <w:rsid w:val="0012279B"/>
    <w:rsid w:val="00124874"/>
    <w:rsid w:val="0012761F"/>
    <w:rsid w:val="00130741"/>
    <w:rsid w:val="00132129"/>
    <w:rsid w:val="001345A7"/>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C2931"/>
    <w:rsid w:val="001D3AEF"/>
    <w:rsid w:val="001D429F"/>
    <w:rsid w:val="001D5163"/>
    <w:rsid w:val="001E73B8"/>
    <w:rsid w:val="0020054C"/>
    <w:rsid w:val="002077B8"/>
    <w:rsid w:val="0021007B"/>
    <w:rsid w:val="002132C6"/>
    <w:rsid w:val="0021669C"/>
    <w:rsid w:val="0022128F"/>
    <w:rsid w:val="00223DCA"/>
    <w:rsid w:val="00226178"/>
    <w:rsid w:val="002354D5"/>
    <w:rsid w:val="00246170"/>
    <w:rsid w:val="0024656D"/>
    <w:rsid w:val="00261C0B"/>
    <w:rsid w:val="00262EA0"/>
    <w:rsid w:val="00267224"/>
    <w:rsid w:val="00267CFE"/>
    <w:rsid w:val="0027312D"/>
    <w:rsid w:val="00274927"/>
    <w:rsid w:val="0027585A"/>
    <w:rsid w:val="00277CDF"/>
    <w:rsid w:val="00280A56"/>
    <w:rsid w:val="00282C0D"/>
    <w:rsid w:val="00282E71"/>
    <w:rsid w:val="0028514B"/>
    <w:rsid w:val="002855E9"/>
    <w:rsid w:val="0029144D"/>
    <w:rsid w:val="002946A5"/>
    <w:rsid w:val="002974C4"/>
    <w:rsid w:val="002A2959"/>
    <w:rsid w:val="002A312E"/>
    <w:rsid w:val="002B0845"/>
    <w:rsid w:val="002B089A"/>
    <w:rsid w:val="002B12BD"/>
    <w:rsid w:val="002B2FA9"/>
    <w:rsid w:val="002B3003"/>
    <w:rsid w:val="002B36AF"/>
    <w:rsid w:val="002B4CE7"/>
    <w:rsid w:val="002E04BB"/>
    <w:rsid w:val="002E0B77"/>
    <w:rsid w:val="002E5C7E"/>
    <w:rsid w:val="002F4D18"/>
    <w:rsid w:val="00307A87"/>
    <w:rsid w:val="00311C78"/>
    <w:rsid w:val="0031224A"/>
    <w:rsid w:val="0031280A"/>
    <w:rsid w:val="003134C5"/>
    <w:rsid w:val="00315FA9"/>
    <w:rsid w:val="00316802"/>
    <w:rsid w:val="00320C68"/>
    <w:rsid w:val="003213E9"/>
    <w:rsid w:val="003239BF"/>
    <w:rsid w:val="003254FE"/>
    <w:rsid w:val="003259E6"/>
    <w:rsid w:val="003268E2"/>
    <w:rsid w:val="003279BC"/>
    <w:rsid w:val="0033258B"/>
    <w:rsid w:val="00335946"/>
    <w:rsid w:val="00337070"/>
    <w:rsid w:val="00342EA8"/>
    <w:rsid w:val="003465DA"/>
    <w:rsid w:val="003501FE"/>
    <w:rsid w:val="00351F0B"/>
    <w:rsid w:val="00354911"/>
    <w:rsid w:val="00355E1A"/>
    <w:rsid w:val="00371B20"/>
    <w:rsid w:val="00371DBA"/>
    <w:rsid w:val="003752CB"/>
    <w:rsid w:val="00377A3F"/>
    <w:rsid w:val="00380147"/>
    <w:rsid w:val="003923B2"/>
    <w:rsid w:val="003924F5"/>
    <w:rsid w:val="00395DD9"/>
    <w:rsid w:val="003A1201"/>
    <w:rsid w:val="003A688D"/>
    <w:rsid w:val="003B22B2"/>
    <w:rsid w:val="003B3898"/>
    <w:rsid w:val="003B7C80"/>
    <w:rsid w:val="003B7E4A"/>
    <w:rsid w:val="003C1937"/>
    <w:rsid w:val="003C401E"/>
    <w:rsid w:val="003C5285"/>
    <w:rsid w:val="003D0FEE"/>
    <w:rsid w:val="003D5C15"/>
    <w:rsid w:val="003E1B5D"/>
    <w:rsid w:val="003E71E1"/>
    <w:rsid w:val="003F10E8"/>
    <w:rsid w:val="003F1535"/>
    <w:rsid w:val="003F6F6F"/>
    <w:rsid w:val="003F77D0"/>
    <w:rsid w:val="00400A3F"/>
    <w:rsid w:val="00403830"/>
    <w:rsid w:val="00411582"/>
    <w:rsid w:val="004228A2"/>
    <w:rsid w:val="0043178E"/>
    <w:rsid w:val="00431FBC"/>
    <w:rsid w:val="00436B22"/>
    <w:rsid w:val="00437FA2"/>
    <w:rsid w:val="00447356"/>
    <w:rsid w:val="004475D2"/>
    <w:rsid w:val="004629FE"/>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C4DFF"/>
    <w:rsid w:val="004D012E"/>
    <w:rsid w:val="004D1D02"/>
    <w:rsid w:val="004D5B9B"/>
    <w:rsid w:val="004D78E6"/>
    <w:rsid w:val="004E34D2"/>
    <w:rsid w:val="004E5392"/>
    <w:rsid w:val="004F5675"/>
    <w:rsid w:val="004F67EC"/>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7659F"/>
    <w:rsid w:val="00581304"/>
    <w:rsid w:val="00592C30"/>
    <w:rsid w:val="005946F1"/>
    <w:rsid w:val="00594A1C"/>
    <w:rsid w:val="005963C0"/>
    <w:rsid w:val="005B00DA"/>
    <w:rsid w:val="005B230D"/>
    <w:rsid w:val="005B36CD"/>
    <w:rsid w:val="005B7270"/>
    <w:rsid w:val="005C261B"/>
    <w:rsid w:val="005C7011"/>
    <w:rsid w:val="005D3EF8"/>
    <w:rsid w:val="005D48A7"/>
    <w:rsid w:val="005D64E1"/>
    <w:rsid w:val="005F12F5"/>
    <w:rsid w:val="005F2F2E"/>
    <w:rsid w:val="00600F33"/>
    <w:rsid w:val="00603889"/>
    <w:rsid w:val="00604B13"/>
    <w:rsid w:val="0060585E"/>
    <w:rsid w:val="006109CE"/>
    <w:rsid w:val="00615609"/>
    <w:rsid w:val="00615764"/>
    <w:rsid w:val="00615B3C"/>
    <w:rsid w:val="00622FC4"/>
    <w:rsid w:val="00624C8C"/>
    <w:rsid w:val="00650D11"/>
    <w:rsid w:val="00651B20"/>
    <w:rsid w:val="00652380"/>
    <w:rsid w:val="00654264"/>
    <w:rsid w:val="00660CB5"/>
    <w:rsid w:val="00662EA2"/>
    <w:rsid w:val="006654E0"/>
    <w:rsid w:val="006676E1"/>
    <w:rsid w:val="0067218C"/>
    <w:rsid w:val="00695FFD"/>
    <w:rsid w:val="006A0933"/>
    <w:rsid w:val="006B13BE"/>
    <w:rsid w:val="006B2186"/>
    <w:rsid w:val="006B4484"/>
    <w:rsid w:val="006C49BB"/>
    <w:rsid w:val="006C6B17"/>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442AE"/>
    <w:rsid w:val="0075008D"/>
    <w:rsid w:val="00750522"/>
    <w:rsid w:val="00750C73"/>
    <w:rsid w:val="00750D91"/>
    <w:rsid w:val="00755C50"/>
    <w:rsid w:val="0075777F"/>
    <w:rsid w:val="00763E06"/>
    <w:rsid w:val="007656A9"/>
    <w:rsid w:val="00765837"/>
    <w:rsid w:val="00765C74"/>
    <w:rsid w:val="0077799E"/>
    <w:rsid w:val="00783A9C"/>
    <w:rsid w:val="007840FF"/>
    <w:rsid w:val="00787C4D"/>
    <w:rsid w:val="0079733C"/>
    <w:rsid w:val="007B1CBA"/>
    <w:rsid w:val="007C3041"/>
    <w:rsid w:val="007C471E"/>
    <w:rsid w:val="007C57FE"/>
    <w:rsid w:val="007C6E52"/>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8F6D88"/>
    <w:rsid w:val="009041FC"/>
    <w:rsid w:val="00904C84"/>
    <w:rsid w:val="00912F33"/>
    <w:rsid w:val="0091670F"/>
    <w:rsid w:val="00921C64"/>
    <w:rsid w:val="00924FB7"/>
    <w:rsid w:val="00926D46"/>
    <w:rsid w:val="00931375"/>
    <w:rsid w:val="009313E1"/>
    <w:rsid w:val="00934E7A"/>
    <w:rsid w:val="00936785"/>
    <w:rsid w:val="00940362"/>
    <w:rsid w:val="00951E17"/>
    <w:rsid w:val="009534F1"/>
    <w:rsid w:val="00962FF2"/>
    <w:rsid w:val="0096414B"/>
    <w:rsid w:val="00965B4C"/>
    <w:rsid w:val="009710E2"/>
    <w:rsid w:val="00971E4D"/>
    <w:rsid w:val="00977093"/>
    <w:rsid w:val="0098221E"/>
    <w:rsid w:val="0098342B"/>
    <w:rsid w:val="00985FFB"/>
    <w:rsid w:val="00993A63"/>
    <w:rsid w:val="0099660A"/>
    <w:rsid w:val="009A3FAA"/>
    <w:rsid w:val="009A42B6"/>
    <w:rsid w:val="009B07DF"/>
    <w:rsid w:val="009B349A"/>
    <w:rsid w:val="009C1532"/>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35B32"/>
    <w:rsid w:val="00A45277"/>
    <w:rsid w:val="00A45A71"/>
    <w:rsid w:val="00A52206"/>
    <w:rsid w:val="00A570BF"/>
    <w:rsid w:val="00A61BF8"/>
    <w:rsid w:val="00A6372D"/>
    <w:rsid w:val="00A6467B"/>
    <w:rsid w:val="00A72DEA"/>
    <w:rsid w:val="00A73449"/>
    <w:rsid w:val="00A74126"/>
    <w:rsid w:val="00A76AA2"/>
    <w:rsid w:val="00A81201"/>
    <w:rsid w:val="00A82075"/>
    <w:rsid w:val="00A83D70"/>
    <w:rsid w:val="00A953AB"/>
    <w:rsid w:val="00A96517"/>
    <w:rsid w:val="00A975FF"/>
    <w:rsid w:val="00AA2FAD"/>
    <w:rsid w:val="00AA5360"/>
    <w:rsid w:val="00AA5535"/>
    <w:rsid w:val="00AB1108"/>
    <w:rsid w:val="00AB1E96"/>
    <w:rsid w:val="00AB620F"/>
    <w:rsid w:val="00AB6B9A"/>
    <w:rsid w:val="00AD0C4A"/>
    <w:rsid w:val="00AD1E6E"/>
    <w:rsid w:val="00AD344E"/>
    <w:rsid w:val="00AD395A"/>
    <w:rsid w:val="00AD6F4C"/>
    <w:rsid w:val="00AD74F2"/>
    <w:rsid w:val="00AE394B"/>
    <w:rsid w:val="00AF6928"/>
    <w:rsid w:val="00AF6975"/>
    <w:rsid w:val="00AF6F9F"/>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494"/>
    <w:rsid w:val="00B84FBD"/>
    <w:rsid w:val="00B86D57"/>
    <w:rsid w:val="00B87A6A"/>
    <w:rsid w:val="00B87AB5"/>
    <w:rsid w:val="00B926E9"/>
    <w:rsid w:val="00B92C5A"/>
    <w:rsid w:val="00B92EFB"/>
    <w:rsid w:val="00BA0B38"/>
    <w:rsid w:val="00BA157C"/>
    <w:rsid w:val="00BA76CE"/>
    <w:rsid w:val="00BB26BF"/>
    <w:rsid w:val="00BB6447"/>
    <w:rsid w:val="00BB6DFE"/>
    <w:rsid w:val="00BB6E91"/>
    <w:rsid w:val="00BC1E1B"/>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77931"/>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CF7C26"/>
    <w:rsid w:val="00D01C77"/>
    <w:rsid w:val="00D05383"/>
    <w:rsid w:val="00D1424A"/>
    <w:rsid w:val="00D143C5"/>
    <w:rsid w:val="00D1455E"/>
    <w:rsid w:val="00D16975"/>
    <w:rsid w:val="00D21031"/>
    <w:rsid w:val="00D25FF9"/>
    <w:rsid w:val="00D277E5"/>
    <w:rsid w:val="00D31AC5"/>
    <w:rsid w:val="00D35482"/>
    <w:rsid w:val="00D41329"/>
    <w:rsid w:val="00D423E1"/>
    <w:rsid w:val="00D42B95"/>
    <w:rsid w:val="00D42CA5"/>
    <w:rsid w:val="00D43571"/>
    <w:rsid w:val="00D63543"/>
    <w:rsid w:val="00D644D7"/>
    <w:rsid w:val="00D86164"/>
    <w:rsid w:val="00D90D3E"/>
    <w:rsid w:val="00D9509C"/>
    <w:rsid w:val="00D968F4"/>
    <w:rsid w:val="00DA7C04"/>
    <w:rsid w:val="00DB0361"/>
    <w:rsid w:val="00DB15D6"/>
    <w:rsid w:val="00DB5061"/>
    <w:rsid w:val="00DB5093"/>
    <w:rsid w:val="00DC338F"/>
    <w:rsid w:val="00DC3B8E"/>
    <w:rsid w:val="00DC4D8D"/>
    <w:rsid w:val="00DC6B8F"/>
    <w:rsid w:val="00DC6FDE"/>
    <w:rsid w:val="00DC7343"/>
    <w:rsid w:val="00DD072E"/>
    <w:rsid w:val="00DD4531"/>
    <w:rsid w:val="00DE6783"/>
    <w:rsid w:val="00DE6E99"/>
    <w:rsid w:val="00DE6EAB"/>
    <w:rsid w:val="00E02A4C"/>
    <w:rsid w:val="00E0627F"/>
    <w:rsid w:val="00E06435"/>
    <w:rsid w:val="00E12BEB"/>
    <w:rsid w:val="00E1329B"/>
    <w:rsid w:val="00E15705"/>
    <w:rsid w:val="00E225E0"/>
    <w:rsid w:val="00E24D45"/>
    <w:rsid w:val="00E335E6"/>
    <w:rsid w:val="00E37135"/>
    <w:rsid w:val="00E41F86"/>
    <w:rsid w:val="00E449CB"/>
    <w:rsid w:val="00E4776C"/>
    <w:rsid w:val="00E63F3D"/>
    <w:rsid w:val="00E70441"/>
    <w:rsid w:val="00E7096D"/>
    <w:rsid w:val="00E75D1F"/>
    <w:rsid w:val="00E90120"/>
    <w:rsid w:val="00E905A2"/>
    <w:rsid w:val="00E92A54"/>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84E9C"/>
    <w:rsid w:val="00F944DB"/>
    <w:rsid w:val="00F9464C"/>
    <w:rsid w:val="00FA1DF6"/>
    <w:rsid w:val="00FA4D2B"/>
    <w:rsid w:val="00FB2140"/>
    <w:rsid w:val="00FB7333"/>
    <w:rsid w:val="00FC1044"/>
    <w:rsid w:val="00FC503F"/>
    <w:rsid w:val="00FC78DC"/>
    <w:rsid w:val="00FD0939"/>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E5047"/>
  <w15:docId w15:val="{1DF84422-AAF1-4895-AC98-2908F16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280A56"/>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4F67EC"/>
    <w:pPr>
      <w:numPr>
        <w:numId w:val="2"/>
      </w:numPr>
      <w:spacing w:before="0" w:after="280"/>
      <w:ind w:left="357" w:hanging="357"/>
      <w:contextualSpacing/>
    </w:pPr>
  </w:style>
  <w:style w:type="paragraph" w:customStyle="1" w:styleId="Textkrperfett">
    <w:name w:val="Textkörper fett"/>
    <w:basedOn w:val="Textkrper"/>
    <w:link w:val="TextkrperfettZchn"/>
    <w:autoRedefine/>
    <w:qFormat/>
    <w:rsid w:val="003D5C15"/>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AF6F9F"/>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7840FF"/>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085A3D"/>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uiPriority w:val="99"/>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7C3041"/>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085A3D"/>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4F67EC"/>
    <w:rPr>
      <w:rFonts w:ascii="Calibri" w:hAnsi="Calibri"/>
      <w:sz w:val="20"/>
      <w:szCs w:val="24"/>
    </w:rPr>
  </w:style>
  <w:style w:type="character" w:customStyle="1" w:styleId="AufzhlungaZchn">
    <w:name w:val="Aufzählung a) Zchn"/>
    <w:basedOn w:val="AufzhlungZchn"/>
    <w:link w:val="Aufzhlunga"/>
    <w:uiPriority w:val="1"/>
    <w:rsid w:val="00AF6F9F"/>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3D5C15"/>
    <w:rPr>
      <w:rFonts w:ascii="Calibri" w:hAnsi="Calibri"/>
      <w:b/>
      <w:sz w:val="20"/>
      <w:szCs w:val="24"/>
    </w:rPr>
  </w:style>
  <w:style w:type="character" w:customStyle="1" w:styleId="TabellentextZchn">
    <w:name w:val="Tabellentext Zchn"/>
    <w:basedOn w:val="TextkrperZchn"/>
    <w:link w:val="Tabellentext"/>
    <w:uiPriority w:val="1"/>
    <w:rsid w:val="007840FF"/>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Textkrper"/>
    <w:uiPriority w:val="34"/>
    <w:rsid w:val="003D5C15"/>
    <w:pPr>
      <w:ind w:left="720"/>
      <w:contextualSpacing/>
    </w:p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0874D3"/>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numbering" w:customStyle="1" w:styleId="UBAberschriften">
    <w:name w:val="UBA_Überschriften"/>
    <w:basedOn w:val="KeineListe"/>
    <w:uiPriority w:val="99"/>
    <w:rsid w:val="000874D3"/>
    <w:pPr>
      <w:numPr>
        <w:numId w:val="21"/>
      </w:numPr>
    </w:pPr>
  </w:style>
  <w:style w:type="table" w:customStyle="1" w:styleId="UBATabellenformatvorlage1">
    <w:name w:val="UBA_Tabellenformatvorlage1"/>
    <w:basedOn w:val="NormaleTabelle"/>
    <w:uiPriority w:val="99"/>
    <w:rsid w:val="00D42B95"/>
    <w:pPr>
      <w:spacing w:before="0"/>
    </w:pPr>
    <w:rPr>
      <w:rFonts w:ascii="Cambria" w:eastAsia="Cambria" w:hAnsi="Cambria"/>
      <w:color w:val="000000"/>
      <w:lang w:eastAsia="en-US"/>
    </w:rPr>
    <w:tblPr>
      <w:tblStyleRowBandSize w:val="1"/>
      <w:tblInd w:w="113" w:type="dxa"/>
      <w:tblBorders>
        <w:insideV w:val="single" w:sz="4" w:space="0" w:color="000000"/>
      </w:tblBorders>
      <w:tblCellMar>
        <w:top w:w="85" w:type="dxa"/>
        <w:bottom w:w="85" w:type="dxa"/>
      </w:tblCellMar>
    </w:tblPr>
    <w:tblStylePr w:type="firstRow">
      <w:tblPr/>
      <w:trPr>
        <w:tblHeader/>
      </w:trPr>
      <w:tcPr>
        <w:shd w:val="clear" w:color="auto" w:fill="9BD77C"/>
      </w:tcPr>
    </w:tblStylePr>
    <w:tblStylePr w:type="band2Horz">
      <w:tblPr/>
      <w:tcPr>
        <w:shd w:val="clear" w:color="auto" w:fill="F2F2F2"/>
      </w:tcPr>
    </w:tblStylePr>
  </w:style>
  <w:style w:type="table" w:customStyle="1" w:styleId="UBATabellenformatvorlage2">
    <w:name w:val="UBA_Tabellenformatvorlage2"/>
    <w:basedOn w:val="NormaleTabelle"/>
    <w:uiPriority w:val="99"/>
    <w:rsid w:val="00D42B95"/>
    <w:pPr>
      <w:spacing w:before="0"/>
    </w:pPr>
    <w:rPr>
      <w:rFonts w:ascii="Cambria" w:eastAsia="Cambria" w:hAnsi="Cambria"/>
      <w:color w:val="000000"/>
      <w:lang w:eastAsia="en-US"/>
    </w:rPr>
    <w:tblPr>
      <w:tblStyleRowBandSize w:val="1"/>
      <w:tblInd w:w="113" w:type="dxa"/>
      <w:tblBorders>
        <w:insideV w:val="single" w:sz="4" w:space="0" w:color="000000"/>
      </w:tblBorders>
      <w:tblCellMar>
        <w:top w:w="85" w:type="dxa"/>
        <w:bottom w:w="85" w:type="dxa"/>
      </w:tblCellMar>
    </w:tblPr>
    <w:tblStylePr w:type="firstRow">
      <w:tblPr/>
      <w:trPr>
        <w:tblHeader/>
      </w:trPr>
      <w:tcPr>
        <w:shd w:val="clear" w:color="auto" w:fill="9BD77C"/>
      </w:tcPr>
    </w:tblStylePr>
    <w:tblStylePr w:type="band2Horz">
      <w:tblPr/>
      <w:tcPr>
        <w:shd w:val="clear" w:color="auto" w:fill="F2F2F2"/>
      </w:tcPr>
    </w:tblStylePr>
  </w:style>
  <w:style w:type="paragraph" w:styleId="berarbeitung">
    <w:name w:val="Revision"/>
    <w:hidden/>
    <w:uiPriority w:val="99"/>
    <w:semiHidden/>
    <w:rsid w:val="00BC1E1B"/>
    <w:pPr>
      <w:spacing w:before="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mweltbundesamt.de/themen/gesundheit/kommissionen-arbeitsgruppen/ausschuss-zur-gesundheitlichen-bewertung-v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176D97C76F61471C88E9256F251A32AF"/>
        <w:category>
          <w:name w:val="Allgemein"/>
          <w:gallery w:val="placeholder"/>
        </w:category>
        <w:types>
          <w:type w:val="bbPlcHdr"/>
        </w:types>
        <w:behaviors>
          <w:behavior w:val="content"/>
        </w:behaviors>
        <w:guid w:val="{43E43CD8-030B-4BBA-9693-F8C88D9A9623}"/>
      </w:docPartPr>
      <w:docPartBody>
        <w:p w:rsidR="0033220B" w:rsidRDefault="00891883">
          <w:pPr>
            <w:pStyle w:val="176D97C76F61471C88E9256F251A32AF"/>
          </w:pPr>
          <w:r w:rsidRPr="00C32728">
            <w:rPr>
              <w:rStyle w:val="Platzhaltertext"/>
            </w:rPr>
            <w:t>Klicken oder tippen Sie hier, um Text einzugeben.</w:t>
          </w:r>
        </w:p>
      </w:docPartBody>
    </w:docPart>
    <w:docPart>
      <w:docPartPr>
        <w:name w:val="2871DDEBF08F4FEBA724B4ABE0C3EF5E"/>
        <w:category>
          <w:name w:val="Allgemein"/>
          <w:gallery w:val="placeholder"/>
        </w:category>
        <w:types>
          <w:type w:val="bbPlcHdr"/>
        </w:types>
        <w:behaviors>
          <w:behavior w:val="content"/>
        </w:behaviors>
        <w:guid w:val="{0517E1D3-0B1E-4A47-93DE-4451FB69FD29}"/>
      </w:docPartPr>
      <w:docPartBody>
        <w:p w:rsidR="0033220B" w:rsidRDefault="00891883">
          <w:pPr>
            <w:pStyle w:val="2871DDEBF08F4FEBA724B4ABE0C3EF5E"/>
          </w:pPr>
          <w:r w:rsidRPr="00C32728">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
      <w:docPartPr>
        <w:name w:val="D0958ABF9CBF45F490931F18F9C03557"/>
        <w:category>
          <w:name w:val="Allgemein"/>
          <w:gallery w:val="placeholder"/>
        </w:category>
        <w:types>
          <w:type w:val="bbPlcHdr"/>
        </w:types>
        <w:behaviors>
          <w:behavior w:val="content"/>
        </w:behaviors>
        <w:guid w:val="{8AC7A220-56E7-4541-9B4B-BD5E71ED9A5D}"/>
      </w:docPartPr>
      <w:docPartBody>
        <w:p w:rsidR="0045652E" w:rsidRDefault="008A21BC" w:rsidP="008A21BC">
          <w:pPr>
            <w:pStyle w:val="D0958ABF9CBF45F490931F18F9C03557"/>
          </w:pPr>
          <w:r w:rsidRPr="00C32728">
            <w:rPr>
              <w:rStyle w:val="Platzhaltertext"/>
            </w:rPr>
            <w:t>Klicken oder tippen Sie hier, um Text einzugeben.</w:t>
          </w:r>
        </w:p>
      </w:docPartBody>
    </w:docPart>
    <w:docPart>
      <w:docPartPr>
        <w:name w:val="D27F1D6DBCEB41058E3FD840BB17D36E"/>
        <w:category>
          <w:name w:val="Allgemein"/>
          <w:gallery w:val="placeholder"/>
        </w:category>
        <w:types>
          <w:type w:val="bbPlcHdr"/>
        </w:types>
        <w:behaviors>
          <w:behavior w:val="content"/>
        </w:behaviors>
        <w:guid w:val="{E340A2BF-7287-4CBB-9048-036FC17A1A54}"/>
      </w:docPartPr>
      <w:docPartBody>
        <w:p w:rsidR="00383AC2" w:rsidRDefault="00274C9F" w:rsidP="00274C9F">
          <w:pPr>
            <w:pStyle w:val="D27F1D6DBCEB41058E3FD840BB17D36E"/>
          </w:pPr>
          <w:r w:rsidRPr="00C32728">
            <w:rPr>
              <w:rStyle w:val="Platzhaltertext"/>
            </w:rPr>
            <w:t>Klicken oder tippen Sie hier, um Text einzugeben.</w:t>
          </w:r>
        </w:p>
      </w:docPartBody>
    </w:docPart>
    <w:docPart>
      <w:docPartPr>
        <w:name w:val="29CA58FE89BB4B2D8408FDDF30D83BED"/>
        <w:category>
          <w:name w:val="Allgemein"/>
          <w:gallery w:val="placeholder"/>
        </w:category>
        <w:types>
          <w:type w:val="bbPlcHdr"/>
        </w:types>
        <w:behaviors>
          <w:behavior w:val="content"/>
        </w:behaviors>
        <w:guid w:val="{86C14BBD-FA05-49A6-825A-CE2F93C17B2A}"/>
      </w:docPartPr>
      <w:docPartBody>
        <w:p w:rsidR="00FF6004" w:rsidRDefault="00383AC2" w:rsidP="00383AC2">
          <w:pPr>
            <w:pStyle w:val="29CA58FE89BB4B2D8408FDDF30D83BED"/>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w:altName w:val="Arial"/>
    <w:panose1 w:val="020B0604030101020102"/>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205170"/>
    <w:rsid w:val="00254B7F"/>
    <w:rsid w:val="00274C9F"/>
    <w:rsid w:val="0033220B"/>
    <w:rsid w:val="00383AC2"/>
    <w:rsid w:val="0045652E"/>
    <w:rsid w:val="005F4D1C"/>
    <w:rsid w:val="00706521"/>
    <w:rsid w:val="007D0D57"/>
    <w:rsid w:val="008004DC"/>
    <w:rsid w:val="00816854"/>
    <w:rsid w:val="00891883"/>
    <w:rsid w:val="008A21BC"/>
    <w:rsid w:val="009B5E34"/>
    <w:rsid w:val="00C41FEC"/>
    <w:rsid w:val="00C44A3E"/>
    <w:rsid w:val="00EB12D4"/>
    <w:rsid w:val="00FF6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3AC2"/>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D27F1D6DBCEB41058E3FD840BB17D36E">
    <w:name w:val="D27F1D6DBCEB41058E3FD840BB17D36E"/>
    <w:rsid w:val="00274C9F"/>
  </w:style>
  <w:style w:type="paragraph" w:customStyle="1" w:styleId="176D97C76F61471C88E9256F251A32AF">
    <w:name w:val="176D97C76F61471C88E9256F251A32AF"/>
  </w:style>
  <w:style w:type="paragraph" w:customStyle="1" w:styleId="D0958ABF9CBF45F490931F18F9C03557">
    <w:name w:val="D0958ABF9CBF45F490931F18F9C03557"/>
    <w:rsid w:val="008A21BC"/>
  </w:style>
  <w:style w:type="paragraph" w:customStyle="1" w:styleId="2871DDEBF08F4FEBA724B4ABE0C3EF5E">
    <w:name w:val="2871DDEBF08F4FEBA724B4ABE0C3EF5E"/>
  </w:style>
  <w:style w:type="paragraph" w:customStyle="1" w:styleId="0B3D78002D1B43628C578F268BE88432">
    <w:name w:val="0B3D78002D1B43628C578F268BE88432"/>
  </w:style>
  <w:style w:type="paragraph" w:customStyle="1" w:styleId="29CA58FE89BB4B2D8408FDDF30D83BED">
    <w:name w:val="29CA58FE89BB4B2D8408FDDF30D83BED"/>
    <w:rsid w:val="00383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220624_Anbieterfragebogen_Bodenbelagsklebstoffe_und_andere_Verlegewerkstoffe"/>
    <f:field ref="objsubject" par="" edit="true" text=""/>
    <f:field ref="objcreatedby" par="" text="Huth, Dagmar"/>
    <f:field ref="objcreatedat" par="" text="28.06.2022 14:08:10"/>
    <f:field ref="objchangedby" par="" text="Ittershagen, Martin"/>
    <f:field ref="objmodifiedat" par="" text="07.07.2022 14:55:04"/>
    <f:field ref="doc_FSCFOLIO_1_1001_FieldDocumentNumber" par="" text=""/>
    <f:field ref="doc_FSCFOLIO_1_1001_FieldSubject" par="" edit="true" text=""/>
    <f:field ref="FSCFOLIO_1_1001_FieldCurrentUser" par="" text="Martin Stallmann"/>
    <f:field ref="CCAPRECONFIG_15_1001_Objektname" par="" edit="true" text="220624_Anbieterfragebogen_Bodenbelagsklebstoffe_und_andere_Verlegewerkstoffe"/>
    <f:field ref="DEPRECONFIG_15_1001_Objektname" par="" edit="true" text="220624_Anbieterfragebogen_Bodenbelagsklebstoffe_und_andere_Verlegewerkstoff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73375C9-3A63-46FB-8845-EA1A3D21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UBA_AE-AFB_Calibri_20181004.dotx</Template>
  <TotalTime>0</TotalTime>
  <Pages>17</Pages>
  <Words>4763</Words>
  <Characters>30011</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Bodenbelagsklebstoffen und anderen Verlegewerkstoffen</vt:lpstr>
    </vt:vector>
  </TitlesOfParts>
  <Company>Umweltbundesamt</Company>
  <LinksUpToDate>false</LinksUpToDate>
  <CharactersWithSpaces>34705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Bodenbelagsklebstoffen und anderen Verlegewerkstoffen</dc:title>
  <dc:creator>Stallmann, Martin</dc:creator>
  <cp:keywords>Bodenbelagsklebstoff, Verlegewerkstoff</cp:keywords>
  <cp:lastModifiedBy>Stallmann, Martin</cp:lastModifiedBy>
  <cp:revision>2</cp:revision>
  <cp:lastPrinted>2021-11-16T10:17:00Z</cp:lastPrinted>
  <dcterms:created xsi:type="dcterms:W3CDTF">2022-07-26T07:48:00Z</dcterms:created>
  <dcterms:modified xsi:type="dcterms:W3CDTF">2022-07-26T07:48:00Z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39 410/0038#0011</vt:lpwstr>
  </property>
  <property fmtid="{D5CDD505-2E9C-101B-9397-08002B2CF9AE}" pid="12" name="FSC#UBACFG@15.1700:SubjectReferrednumber">
    <vt:lpwstr>Leitfaden umweltfreundliche Beschaffung - Bodenbelagsklebstoffe und andere Verlegewerkstoffe</vt:lpwstr>
  </property>
  <property fmtid="{D5CDD505-2E9C-101B-9397-08002B2CF9AE}" pid="13" name="FSC#UBACFG@15.1700:ObjnameReferrednumber">
    <vt:lpwstr>39 410/0038#0011-0001 - Leitfaden zur umweltfreundlichen öffentlichen Beschaffung - </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31.03.2022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28.06.2022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*COO.2245.100.8.1076168*</vt:lpwstr>
  </property>
  <property fmtid="{D5CDD505-2E9C-101B-9397-08002B2CF9AE}" pid="32" name="FSC#COOELAK@1.1001:RefBarCode">
    <vt:lpwstr>*COO.2245.100.3.205956*</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31.03.2022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martin.stallmann@uba.de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28.03.2022</vt:lpwstr>
  </property>
  <property fmtid="{D5CDD505-2E9C-101B-9397-08002B2CF9AE}" pid="60" name="FSC#ATSTATECFG@1.1001:SubfileSubject">
    <vt:lpwstr>Leitfaden umweltfreundliche Beschaffung - Bodenbelagsklebstoffe und andere Verlegewerkstoffe</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39 410/0038#0011-0001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39 410/0038#0011</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Leitfaden umweltfreundliche Beschaffung - Bodenbelagsklebstoffe und andere Verlegewerkstoffe</vt:lpwstr>
  </property>
  <property fmtid="{D5CDD505-2E9C-101B-9397-08002B2CF9AE}" pid="81" name="FSC#FSCGOVDE@1.1001:SignFinalVersionBy">
    <vt:lpwstr>Rechenberg Bettina</vt:lpwstr>
  </property>
  <property fmtid="{D5CDD505-2E9C-101B-9397-08002B2CF9AE}" pid="82" name="FSC#FSCGOVDE@1.1001:SignFinalVersionAt">
    <vt:lpwstr>31.03.2022</vt:lpwstr>
  </property>
  <property fmtid="{D5CDD505-2E9C-101B-9397-08002B2CF9AE}" pid="83" name="FSC#FSCGOVDE@1.1001:ProcedureRefBarCode">
    <vt:lpwstr>39 410/0038#0011</vt:lpwstr>
  </property>
  <property fmtid="{D5CDD505-2E9C-101B-9397-08002B2CF9AE}" pid="84" name="FSC#FSCGOVDE@1.1001:FileAddSubj">
    <vt:lpwstr/>
  </property>
  <property fmtid="{D5CDD505-2E9C-101B-9397-08002B2CF9AE}" pid="85" name="FSC#FSCGOVDE@1.1001:DocumentSubj">
    <vt:lpwstr>Leitfaden umweltfreundliche Beschaffung - Bodenbelagsklebstoffe und andere Verlegewerkstoffe</vt:lpwstr>
  </property>
  <property fmtid="{D5CDD505-2E9C-101B-9397-08002B2CF9AE}" pid="86" name="FSC#FSCGOVDE@1.1001:FileRel">
    <vt:lpwstr/>
  </property>
  <property fmtid="{D5CDD505-2E9C-101B-9397-08002B2CF9AE}" pid="87" name="FSC#COOSYSTEM@1.1:Container">
    <vt:lpwstr>COO.2245.100.8.1076168</vt:lpwstr>
  </property>
  <property fmtid="{D5CDD505-2E9C-101B-9397-08002B2CF9AE}" pid="88" name="FSC#FSCFOLIO@1.1001:docpropproject">
    <vt:lpwstr/>
  </property>
</Properties>
</file>