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2058"/>
        <w:gridCol w:w="1231"/>
        <w:gridCol w:w="3387"/>
      </w:tblGrid>
      <w:tr w:rsidR="004717CF" w:rsidRPr="003A70FD" w14:paraId="562388D9" w14:textId="77777777" w:rsidTr="00607383">
        <w:trPr>
          <w:trHeight w:val="280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8E28" w14:textId="77777777" w:rsidR="00EE42D0" w:rsidRDefault="008867B1" w:rsidP="004F2E5F">
            <w:pPr>
              <w:pStyle w:val="berschrift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70FD">
              <w:rPr>
                <w:rFonts w:ascii="Arial" w:hAnsi="Arial" w:cs="Arial"/>
                <w:color w:val="FF0000"/>
                <w:sz w:val="22"/>
                <w:szCs w:val="22"/>
              </w:rPr>
              <w:t>FACTSHEET</w:t>
            </w:r>
          </w:p>
          <w:p w14:paraId="3CD97F54" w14:textId="703B4929" w:rsidR="009E3379" w:rsidRPr="009E3379" w:rsidRDefault="005D5979" w:rsidP="009E337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Octocrylen</w:t>
            </w:r>
            <w:proofErr w:type="spellEnd"/>
            <w:r w:rsidR="00987507">
              <w:rPr>
                <w:rFonts w:ascii="Arial" w:hAnsi="Arial" w:cs="Arial"/>
                <w:b/>
                <w:bCs/>
              </w:rPr>
              <w:t xml:space="preserve"> (OC)</w:t>
            </w:r>
          </w:p>
        </w:tc>
        <w:tc>
          <w:tcPr>
            <w:tcW w:w="6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9861" w14:textId="483A5925" w:rsidR="002577FE" w:rsidRDefault="00EE488E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Aktualisierung</w:t>
            </w:r>
            <w:r>
              <w:rPr>
                <w:rStyle w:val="Funotenzeichen"/>
                <w:rFonts w:ascii="Arial" w:hAnsi="Arial" w:cs="Arial"/>
                <w:b/>
                <w:bCs/>
              </w:rPr>
              <w:footnoteReference w:id="1"/>
            </w:r>
            <w:r>
              <w:rPr>
                <w:rFonts w:ascii="Arial" w:hAnsi="Arial" w:cs="Arial"/>
                <w:b/>
                <w:bCs/>
              </w:rPr>
              <w:t xml:space="preserve"> der </w:t>
            </w:r>
            <w:r w:rsidR="003A70FD" w:rsidRPr="003A70FD">
              <w:rPr>
                <w:rFonts w:ascii="Arial" w:hAnsi="Arial" w:cs="Arial"/>
                <w:b/>
                <w:bCs/>
              </w:rPr>
              <w:t>Ableitung der HBM</w:t>
            </w:r>
            <w:r>
              <w:rPr>
                <w:rFonts w:ascii="Arial" w:hAnsi="Arial" w:cs="Arial"/>
                <w:b/>
                <w:bCs/>
              </w:rPr>
              <w:t>-W</w:t>
            </w:r>
            <w:r w:rsidR="003A70FD" w:rsidRPr="003A70FD">
              <w:rPr>
                <w:rFonts w:ascii="Arial" w:hAnsi="Arial" w:cs="Arial"/>
                <w:b/>
                <w:bCs/>
              </w:rPr>
              <w:t>erte</w:t>
            </w:r>
          </w:p>
          <w:p w14:paraId="2AAF3A0A" w14:textId="77777777" w:rsidR="005D5979" w:rsidRDefault="005D5979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113CC05" wp14:editId="617A9228">
                  <wp:extent cx="1570749" cy="71174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56" cy="724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F69E4A" w14:textId="0410F998" w:rsidR="00EE488E" w:rsidRPr="003A70FD" w:rsidRDefault="00EE488E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268B" w:rsidRPr="003A70FD" w14:paraId="65870CDD" w14:textId="77777777" w:rsidTr="00607383">
        <w:trPr>
          <w:trHeight w:val="280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5D25D" w14:textId="1F5248C8" w:rsidR="00F4268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Substanz</w:t>
            </w:r>
            <w:r w:rsidR="00F4268B"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F1FC" w14:textId="614D34F4" w:rsidR="00F4268B" w:rsidRPr="0066775C" w:rsidRDefault="005D5979" w:rsidP="00EC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>Octocrylen</w:t>
            </w:r>
            <w:proofErr w:type="spellEnd"/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92EBB" w:rsidRPr="003A70FD" w14:paraId="533911DB" w14:textId="77777777" w:rsidTr="00607383">
        <w:trPr>
          <w:trHeight w:val="280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DDEE" w14:textId="3965BF06" w:rsidR="00292EB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Wertableitungsjahr</w:t>
            </w:r>
          </w:p>
        </w:tc>
        <w:tc>
          <w:tcPr>
            <w:tcW w:w="6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E174" w14:textId="58DFD195" w:rsidR="00EE42D0" w:rsidRPr="0066775C" w:rsidRDefault="005D5979" w:rsidP="00EE4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 w:rsidR="00EE488E" w:rsidRPr="003A70FD" w14:paraId="2E3CE37B" w14:textId="77777777" w:rsidTr="00607383">
        <w:trPr>
          <w:trHeight w:val="280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B1F1" w14:textId="031876BF" w:rsidR="00EE488E" w:rsidRPr="0066775C" w:rsidRDefault="00EE488E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Aktualisierung </w:t>
            </w:r>
          </w:p>
        </w:tc>
        <w:tc>
          <w:tcPr>
            <w:tcW w:w="6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5612" w14:textId="7D2A2073" w:rsidR="00EE488E" w:rsidRPr="0066775C" w:rsidRDefault="00EE488E" w:rsidP="00EE4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292EBB" w:rsidRPr="003A70FD" w14:paraId="1A2B8E51" w14:textId="77777777" w:rsidTr="00607383">
        <w:trPr>
          <w:trHeight w:val="280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33D2" w14:textId="277E1EFE" w:rsidR="00292EB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Publikation</w:t>
            </w:r>
          </w:p>
        </w:tc>
        <w:tc>
          <w:tcPr>
            <w:tcW w:w="6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DF1F" w14:textId="32D5B17F" w:rsidR="00292EBB" w:rsidRPr="0066775C" w:rsidRDefault="00C05F79" w:rsidP="006677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Bundesgesundheitsblatt - Gesundheitsforschung - Gesundheitsschutz </w:t>
            </w:r>
            <w:r w:rsidR="005D5979" w:rsidRPr="0066775C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  <w:r w:rsidR="00EE488E" w:rsidRPr="006677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hyperlink r:id="rId9" w:history="1">
              <w:r w:rsidR="00EE488E" w:rsidRPr="00704D6A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</w:rPr>
                <w:t>https://doi.org/10.1007/s0010</w:t>
              </w:r>
              <w:r w:rsidR="00EE488E" w:rsidRPr="00704D6A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</w:rPr>
                <w:t>3</w:t>
              </w:r>
              <w:r w:rsidR="00EE488E" w:rsidRPr="00704D6A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</w:rPr>
                <w:t>-023-03785-2</w:t>
              </w:r>
            </w:hyperlink>
            <w:r w:rsidR="0066775C" w:rsidRPr="00704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[1]</w:t>
            </w:r>
          </w:p>
        </w:tc>
      </w:tr>
      <w:tr w:rsidR="005874AC" w:rsidRPr="003A70FD" w14:paraId="2385ED99" w14:textId="77777777" w:rsidTr="00607383">
        <w:trPr>
          <w:trHeight w:val="25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5C98" w14:textId="77777777" w:rsidR="005874AC" w:rsidRPr="003A70FD" w:rsidRDefault="00F4268B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F2AF" w14:textId="2E2FC987" w:rsidR="005874AC" w:rsidRPr="003A70FD" w:rsidRDefault="005C3C60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Wert</w:t>
            </w:r>
            <w:r w:rsidR="0048595A"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</w:t>
            </w:r>
            <w:r w:rsidR="00C70E22"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Deskriptor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F7A4" w14:textId="77777777" w:rsidR="005874AC" w:rsidRPr="003A70FD" w:rsidRDefault="0048595A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Dimension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4722" w14:textId="2E461933" w:rsidR="005874AC" w:rsidRPr="003A70FD" w:rsidRDefault="005C3C60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Kommentare</w:t>
            </w:r>
          </w:p>
        </w:tc>
      </w:tr>
      <w:tr w:rsidR="00704D6A" w:rsidRPr="003A70FD" w14:paraId="3817C473" w14:textId="77777777" w:rsidTr="005A5271">
        <w:trPr>
          <w:trHeight w:val="336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6E4348" w14:textId="0399C5D5" w:rsidR="00704D6A" w:rsidRPr="003A70FD" w:rsidRDefault="00704D6A" w:rsidP="007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>HBM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-Werte CP</w:t>
            </w:r>
            <w:r w:rsidR="00EF6E77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</w:p>
        </w:tc>
      </w:tr>
      <w:tr w:rsidR="0071750A" w:rsidRPr="003A70FD" w14:paraId="78034735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AC1B0" w14:textId="3BB95118" w:rsidR="0071750A" w:rsidRPr="000C1203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Wert 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546F9" w14:textId="40A1DEA7" w:rsidR="0071750A" w:rsidRPr="000C1203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</w:t>
            </w:r>
            <w:r w:rsidR="00DC09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07441" w14:textId="720D0CD9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AC6C2" w14:textId="77777777" w:rsidR="0071750A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Matrix: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Urin</w:t>
            </w:r>
          </w:p>
          <w:p w14:paraId="39042B00" w14:textId="6774F1BF" w:rsidR="004D7FF3" w:rsidRPr="004D7FF3" w:rsidRDefault="0071750A" w:rsidP="004D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Biomarker</w:t>
            </w:r>
            <w:r w:rsidR="009B4A3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CP</w:t>
            </w:r>
            <w:r w:rsidR="006B66E4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4D7F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4D7FF3" w:rsidRPr="004D7FF3">
              <w:rPr>
                <w:rFonts w:ascii="Arial" w:hAnsi="Arial" w:cs="Arial"/>
                <w:color w:val="000000"/>
                <w:sz w:val="16"/>
                <w:szCs w:val="16"/>
              </w:rPr>
              <w:t>2-Cyano-3,3-</w:t>
            </w:r>
          </w:p>
          <w:p w14:paraId="60D8CB7C" w14:textId="1CE77606" w:rsidR="0071750A" w:rsidRPr="003A70FD" w:rsidRDefault="0049287D" w:rsidP="004D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4D7FF3" w:rsidRPr="004D7FF3">
              <w:rPr>
                <w:rFonts w:ascii="Arial" w:hAnsi="Arial" w:cs="Arial"/>
                <w:color w:val="000000"/>
                <w:sz w:val="16"/>
                <w:szCs w:val="16"/>
              </w:rPr>
              <w:t>iphenylacrylsäure</w:t>
            </w:r>
            <w:proofErr w:type="spellEnd"/>
            <w:r w:rsidR="004D7FF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71750A" w:rsidRPr="003A70FD" w14:paraId="6021DFB4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19D38" w14:textId="047ACC74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Wert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Frauen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94A2F" w14:textId="76A79759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FA292" w14:textId="5DA99103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CAF68" w14:textId="77777777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750A" w:rsidRPr="003A70FD" w14:paraId="384E7A9C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FC36D" w14:textId="4E1681FB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Wert 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8FA26" w14:textId="16662300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15D91" w14:textId="55E3BE70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F74BF" w14:textId="5D63A5E6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750A" w:rsidRPr="003A70FD" w14:paraId="0456CF7C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69AC6" w14:textId="29761381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Wert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Frauen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C6DCD" w14:textId="67597F9A" w:rsidR="0071750A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C09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D4370" w14:textId="2F54DCBC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10418" w14:textId="77777777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4D6A" w:rsidRPr="003A70FD" w14:paraId="2AD2C775" w14:textId="77777777" w:rsidTr="00A600F3">
        <w:trPr>
          <w:trHeight w:val="333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E3AF8F" w14:textId="1413F340" w:rsidR="00704D6A" w:rsidRPr="003A70FD" w:rsidRDefault="00704D6A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HBM-Werte DOCCA</w:t>
            </w:r>
          </w:p>
        </w:tc>
      </w:tr>
      <w:tr w:rsidR="00DC2DEE" w:rsidRPr="00BD62E8" w14:paraId="609F7340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60632" w14:textId="5513975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Wert 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894B0" w14:textId="690964D3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D0CC4" w14:textId="406E9C76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28711B" w14:textId="77777777" w:rsidR="00DC2DEE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Matrix: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Urin</w:t>
            </w:r>
          </w:p>
          <w:p w14:paraId="3A6F731A" w14:textId="0C6B2CBE" w:rsidR="00DC2DEE" w:rsidRPr="00BD62E8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Biomarker</w:t>
            </w:r>
            <w:r w:rsidR="009B4A3A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DOCCA</w:t>
            </w:r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(2-(</w:t>
            </w:r>
            <w:proofErr w:type="gramStart"/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Carboxymethyl)butyl</w:t>
            </w:r>
            <w:proofErr w:type="gramEnd"/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2-cyano-3,3-diphenylacrylat</w:t>
            </w:r>
            <w:r w:rsidR="004D7FF3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Dinor</w:t>
            </w:r>
            <w:proofErr w:type="spellEnd"/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-OC</w:t>
            </w:r>
            <w:r w:rsidR="004D7FF3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</w:t>
            </w:r>
            <w:proofErr w:type="spellStart"/>
            <w:r w:rsidR="0077180E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Carbonsäure</w:t>
            </w:r>
            <w:proofErr w:type="spellEnd"/>
            <w:r w:rsidR="004D7FF3" w:rsidRPr="00BD62E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)</w:t>
            </w:r>
          </w:p>
        </w:tc>
      </w:tr>
      <w:tr w:rsidR="00DC2DEE" w:rsidRPr="003A70FD" w14:paraId="0CF3E041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0B76F" w14:textId="6BA10DD6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-Wert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Frauen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9FD62" w14:textId="1B781F5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A6D31" w14:textId="1E351ACE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BF3C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6B795F13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3A219" w14:textId="1C9CBDE9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-Wert 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E74B9" w14:textId="26D3357E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0964D" w14:textId="43B00068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82F18B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649E3758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094D5" w14:textId="442E4E2A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I-Wert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Frauen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AAE15" w14:textId="24E7F0CF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53B77" w14:textId="427374D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03EC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4D6A" w:rsidRPr="003A70FD" w14:paraId="4E1C3D6D" w14:textId="77777777" w:rsidTr="00030FBA">
        <w:trPr>
          <w:trHeight w:val="333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DDDAB6" w14:textId="7E9DDBA0" w:rsidR="00704D6A" w:rsidRPr="003A70FD" w:rsidRDefault="00704D6A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Allgemeine</w:t>
            </w: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Information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</w:t>
            </w:r>
          </w:p>
        </w:tc>
      </w:tr>
      <w:tr w:rsidR="00DC2DEE" w:rsidRPr="003A70FD" w14:paraId="65DBE445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D591D" w14:textId="19FE56F4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CAS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-Nummer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365D3" w14:textId="5CC1B33B" w:rsidR="00DC2DEE" w:rsidRPr="003A70FD" w:rsidRDefault="00DC2DEE" w:rsidP="00607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6197-30-4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647C3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07383" w:rsidRPr="003A70FD" w14:paraId="67AC6C40" w14:textId="77777777" w:rsidTr="00F1245B">
        <w:trPr>
          <w:trHeight w:val="35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1D9D7" w14:textId="5DBFF273" w:rsidR="00607383" w:rsidRPr="003A70FD" w:rsidRDefault="00607383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IUPAC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F0AD6" w14:textId="0A50E811" w:rsidR="00607383" w:rsidRDefault="00607383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338B">
              <w:rPr>
                <w:rFonts w:ascii="Arial" w:hAnsi="Arial" w:cs="Arial"/>
                <w:color w:val="000000"/>
                <w:sz w:val="16"/>
                <w:szCs w:val="16"/>
              </w:rPr>
              <w:t>2-Ethylhexyl-2-cyano-3,3-diphenylacrylat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F85CB" w14:textId="77777777" w:rsidR="00607383" w:rsidRPr="003A70FD" w:rsidRDefault="00607383" w:rsidP="00F1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5233F9BE" w14:textId="77777777" w:rsidTr="00607383">
        <w:trPr>
          <w:trHeight w:val="333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11BD4" w14:textId="75761AA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Masse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Octocrylen</w:t>
            </w:r>
            <w:proofErr w:type="spellEnd"/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57FEA" w14:textId="70A6C71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338B">
              <w:rPr>
                <w:rFonts w:ascii="Arial" w:hAnsi="Arial" w:cs="Arial"/>
                <w:color w:val="000000"/>
                <w:sz w:val="16"/>
                <w:szCs w:val="16"/>
              </w:rPr>
              <w:t>361,48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8FD11" w14:textId="4C7B48E8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proofErr w:type="spellStart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12C79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347CF86F" w14:textId="77777777" w:rsidTr="00064A35">
        <w:trPr>
          <w:trHeight w:val="495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0DB6C" w14:textId="23AD96E3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HBM-Biomarker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der Exposition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C97DC" w14:textId="460B53E4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</w:t>
            </w:r>
            <w:r w:rsidR="006B66E4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DOCCA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A8FD6" w14:textId="6ADFC29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Spezifische Metaboliten </w:t>
            </w:r>
          </w:p>
        </w:tc>
      </w:tr>
      <w:tr w:rsidR="00DC2DEE" w:rsidRPr="003A70FD" w14:paraId="58819BAB" w14:textId="77777777" w:rsidTr="00064A35">
        <w:trPr>
          <w:trHeight w:val="528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37F2F" w14:textId="29C1349B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Masse de</w:t>
            </w:r>
            <w:r w:rsidR="004D7FF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Metaboliten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206B8" w14:textId="3E6B62E2" w:rsidR="00DC2DEE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</w:t>
            </w:r>
            <w:r w:rsidR="006B66E4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F1245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F1245B" w:rsidRPr="00F1245B">
              <w:rPr>
                <w:rFonts w:ascii="Arial" w:hAnsi="Arial" w:cs="Arial"/>
                <w:color w:val="000000"/>
                <w:sz w:val="16"/>
                <w:szCs w:val="16"/>
              </w:rPr>
              <w:t>249,27</w:t>
            </w:r>
          </w:p>
          <w:p w14:paraId="53430524" w14:textId="4FFB3B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DOCCA: 363,41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91277" w14:textId="26055AF9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proofErr w:type="spellStart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637A5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04D6A" w:rsidRPr="003A70FD" w14:paraId="59136D76" w14:textId="77777777" w:rsidTr="00A170DA">
        <w:trPr>
          <w:trHeight w:val="336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9FEB51" w14:textId="5C0A48E3" w:rsidR="00704D6A" w:rsidRPr="003A70FD" w:rsidRDefault="00704D6A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enbasis </w:t>
            </w:r>
            <w:r w:rsidR="002058B7">
              <w:rPr>
                <w:rFonts w:ascii="Arial" w:hAnsi="Arial" w:cs="Arial"/>
                <w:b/>
                <w:color w:val="000000"/>
                <w:sz w:val="16"/>
                <w:szCs w:val="16"/>
              </w:rPr>
              <w:t>Toxikologie</w:t>
            </w:r>
          </w:p>
        </w:tc>
      </w:tr>
      <w:tr w:rsidR="00DC2DEE" w:rsidRPr="003A70FD" w14:paraId="3815CF9C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A70FF" w14:textId="6436D0A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Schlüsselstudie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/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utor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) (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Jahr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9D68" w14:textId="6642BD54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Triskelion</w:t>
            </w:r>
            <w:proofErr w:type="spellEnd"/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 xml:space="preserve"> BV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C968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CAF17" w14:textId="4AE7D392" w:rsidR="00DC2DEE" w:rsidRPr="003A70FD" w:rsidRDefault="00F1245B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</w:p>
        </w:tc>
      </w:tr>
      <w:tr w:rsidR="00DC2DEE" w:rsidRPr="003A70FD" w14:paraId="6C69F1C0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A6DBD" w14:textId="07C55B8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Spe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ies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0ABDF" w14:textId="6194EB9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Ratte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E7D6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DA7C5" w14:textId="0FC7A0EC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0BA08809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C5401" w14:textId="1DA5D83F" w:rsidR="00DC2DEE" w:rsidRPr="003A70FD" w:rsidRDefault="0062394F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Applikations</w:t>
            </w:r>
            <w:r w:rsidR="00DC2DEE" w:rsidRPr="00B85D22">
              <w:rPr>
                <w:rFonts w:ascii="Arial" w:hAnsi="Arial" w:cs="Arial"/>
                <w:color w:val="000000" w:themeColor="text1"/>
                <w:sz w:val="16"/>
                <w:szCs w:val="16"/>
              </w:rPr>
              <w:t>we</w:t>
            </w:r>
            <w:r w:rsidR="00035F8A">
              <w:rPr>
                <w:rFonts w:ascii="Arial" w:hAnsi="Arial" w:cs="Arial"/>
                <w:color w:val="000000" w:themeColor="text1"/>
                <w:sz w:val="16"/>
                <w:szCs w:val="16"/>
              </w:rPr>
              <w:t>ise</w:t>
            </w:r>
            <w:r w:rsidR="00DC2DEE" w:rsidRPr="00B85D22">
              <w:rPr>
                <w:rFonts w:ascii="Arial" w:hAnsi="Arial" w:cs="Arial"/>
                <w:color w:val="000000" w:themeColor="text1"/>
                <w:sz w:val="16"/>
                <w:szCs w:val="16"/>
              </w:rPr>
              <w:t>/Studienart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87CCC" w14:textId="4B0C5FBA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(Futter)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84718" w14:textId="657FEF5F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4B47" w14:textId="0DEEA8A6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365">
              <w:rPr>
                <w:rFonts w:ascii="Arial" w:hAnsi="Arial" w:cs="Arial"/>
                <w:sz w:val="16"/>
                <w:szCs w:val="16"/>
              </w:rPr>
              <w:t>OECD-Richtlinie 443</w:t>
            </w:r>
          </w:p>
        </w:tc>
      </w:tr>
      <w:tr w:rsidR="00DC2DEE" w:rsidRPr="003A70FD" w14:paraId="75931710" w14:textId="77777777" w:rsidTr="00064A35">
        <w:trPr>
          <w:trHeight w:val="854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C27A2" w14:textId="1F18BBA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Expositionsdauer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974C0" w14:textId="1BE6329B" w:rsidR="00DC2DEE" w:rsidRPr="003A70FD" w:rsidRDefault="0062394F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rweiterte Ein-Generatio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nen</w:t>
            </w:r>
            <w:proofErr w:type="spellEnd"/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 xml:space="preserve">-Studie zur </w:t>
            </w:r>
            <w:proofErr w:type="spellStart"/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Reproduk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tionstoxizität</w:t>
            </w:r>
            <w:proofErr w:type="spellEnd"/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(EOGRTS)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0D02D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F33CE" w14:textId="71ADB845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Während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 xml:space="preserve">Paarungszeit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10 Wochen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 xml:space="preserve"> 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der Paarung (max. 2 Wochen),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Trächtigkeit und Laktation bis zum 21.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605BF">
              <w:rPr>
                <w:rFonts w:ascii="Arial" w:hAnsi="Arial" w:cs="Arial"/>
                <w:color w:val="000000"/>
                <w:sz w:val="16"/>
                <w:szCs w:val="16"/>
              </w:rPr>
              <w:t>postnatalen Tag</w:t>
            </w:r>
          </w:p>
        </w:tc>
      </w:tr>
      <w:tr w:rsidR="00DC2DEE" w:rsidRPr="003A70FD" w14:paraId="45854CE0" w14:textId="77777777" w:rsidTr="00064A35">
        <w:trPr>
          <w:trHeight w:val="69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8A79E" w14:textId="586ABEF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Kritischer Endpunkt / Effekt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313F7" w14:textId="7B7A56FF" w:rsidR="00DC2DEE" w:rsidRPr="003A70FD" w:rsidRDefault="00290164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C2DEE" w:rsidRPr="00EF5FAB">
              <w:rPr>
                <w:rFonts w:ascii="Arial" w:hAnsi="Arial" w:cs="Arial"/>
                <w:color w:val="000000"/>
                <w:sz w:val="16"/>
                <w:szCs w:val="16"/>
              </w:rPr>
              <w:t>ystemische Toxizität,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C2DEE" w:rsidRPr="00EF5FAB">
              <w:rPr>
                <w:rFonts w:ascii="Arial" w:hAnsi="Arial" w:cs="Arial"/>
                <w:color w:val="000000"/>
                <w:sz w:val="16"/>
                <w:szCs w:val="16"/>
              </w:rPr>
              <w:t>Reproduktions- und Entwicklungstoxizität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1D41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1EBF0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567B2E77" w14:textId="77777777" w:rsidTr="00666931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513F" w14:textId="77777777" w:rsidR="000D02EA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F390B01" w14:textId="28F73B9A" w:rsidR="000D02EA" w:rsidRPr="000D02EA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02EA">
              <w:rPr>
                <w:rFonts w:ascii="Arial" w:hAnsi="Arial" w:cs="Arial"/>
                <w:color w:val="000000" w:themeColor="text1"/>
                <w:sz w:val="16"/>
                <w:szCs w:val="16"/>
              </w:rPr>
              <w:t>NOAEL</w:t>
            </w:r>
          </w:p>
          <w:p w14:paraId="25E2FC6D" w14:textId="4A6826B0" w:rsidR="00F1245B" w:rsidRPr="003A70FD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02EA">
              <w:rPr>
                <w:rFonts w:ascii="Arial" w:hAnsi="Arial" w:cs="Arial"/>
                <w:color w:val="000000" w:themeColor="text1"/>
                <w:sz w:val="16"/>
                <w:szCs w:val="16"/>
              </w:rPr>
              <w:t>LOAEL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AAD47" w14:textId="26FCD44E" w:rsidR="00DC2DEE" w:rsidRPr="003A70FD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       </w:t>
            </w:r>
            <w:r w:rsidRPr="00666931"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641CE" w14:textId="5B8467FB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mg/kg 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/d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9AFA0" w14:textId="77777777" w:rsidR="000D02EA" w:rsidRPr="000D02EA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2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POD für HBM-I-Werte</w:t>
            </w:r>
          </w:p>
          <w:p w14:paraId="1CA73A7A" w14:textId="54C28843" w:rsidR="00F1245B" w:rsidRPr="003A70FD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</w:t>
            </w:r>
            <w:r w:rsidRPr="000D02EA">
              <w:rPr>
                <w:rFonts w:ascii="Arial" w:hAnsi="Arial" w:cs="Arial"/>
                <w:color w:val="000000"/>
                <w:sz w:val="16"/>
                <w:szCs w:val="16"/>
              </w:rPr>
              <w:t>POD für HBM-II-Werte</w:t>
            </w:r>
          </w:p>
        </w:tc>
      </w:tr>
      <w:tr w:rsidR="00704D6A" w:rsidRPr="003A70FD" w14:paraId="6BC82E2F" w14:textId="77777777" w:rsidTr="004E499A">
        <w:trPr>
          <w:trHeight w:val="445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817090" w14:textId="30EDB539" w:rsidR="00704D6A" w:rsidRPr="003A70FD" w:rsidRDefault="003554A5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54A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Bewertungsfaktoren und externe Dosis zur Ableitung von HBM-Werten</w:t>
            </w:r>
          </w:p>
        </w:tc>
      </w:tr>
      <w:tr w:rsidR="00DC2DEE" w:rsidRPr="003A70FD" w14:paraId="357C7458" w14:textId="77777777" w:rsidTr="00064A35">
        <w:trPr>
          <w:trHeight w:val="52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613A0" w14:textId="1C89FB3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>Angepasster Expositionsfaktor (Zeitskalierung)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BB8B8" w14:textId="16F5A69C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2B49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B4B17" w14:textId="501D27B8" w:rsidR="00DC2DEE" w:rsidRPr="003A70FD" w:rsidRDefault="000D02EA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ögliche Effektverstärkung durch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Exposition über die gesamte Lebenszeit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ist </w:t>
            </w:r>
            <w:r w:rsidR="00DC2DEE" w:rsidRPr="004155F5">
              <w:rPr>
                <w:rFonts w:ascii="Arial" w:hAnsi="Arial" w:cs="Arial"/>
                <w:color w:val="000000"/>
                <w:sz w:val="16"/>
                <w:szCs w:val="16"/>
              </w:rPr>
              <w:t>abzudecken</w:t>
            </w:r>
          </w:p>
        </w:tc>
      </w:tr>
      <w:tr w:rsidR="00DC2DEE" w:rsidRPr="003A70FD" w14:paraId="7AE50008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0BAA1" w14:textId="2008B1F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>Inte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rspezies</w:t>
            </w: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 xml:space="preserve"> Faktor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48150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1B73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7DF0E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F8B70" w14:textId="52C05BC5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>Allometrisch</w:t>
            </w:r>
          </w:p>
        </w:tc>
      </w:tr>
      <w:tr w:rsidR="00DC2DEE" w:rsidRPr="003A70FD" w14:paraId="0D82DF50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F2386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2B15C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ADC8D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C0E06" w14:textId="70B0363A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Dynami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sch</w:t>
            </w:r>
          </w:p>
        </w:tc>
      </w:tr>
      <w:tr w:rsidR="00DC2DEE" w:rsidRPr="003A70FD" w14:paraId="6528B4F0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BF86" w14:textId="2C9AA4BE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Intra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spezies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Faktor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9721D" w14:textId="264C9EE5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B94E1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3D756" w14:textId="39D83D2D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>Allgemeinbevölkerung, kinetisch + dynamisch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; reduziert von 10 auf 5, da 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EOGRTS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die besondere Empfindlichkeit während der Entwicklung abdeckt</w:t>
            </w:r>
          </w:p>
        </w:tc>
      </w:tr>
      <w:tr w:rsidR="00DC2DEE" w:rsidRPr="003A70FD" w14:paraId="13991397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1EA2" w14:textId="16603B15" w:rsidR="00DC2DEE" w:rsidRPr="00BE5BC1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>Weitere Anpassungsfaktoren</w:t>
            </w:r>
            <w:r w:rsidR="001D0B4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24C09532" w14:textId="2D60B6D1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>Qualität der gesamten Daten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86274" w14:textId="68EECDB9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5B3F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5CA92" w14:textId="0C6AC3C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Ber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ü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cksichtigung von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Unsicherheiten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 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Zusammenhang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mit den Ergebnissen der mechanistischen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5F5">
              <w:rPr>
                <w:rFonts w:ascii="Arial" w:hAnsi="Arial" w:cs="Arial"/>
                <w:color w:val="000000"/>
                <w:sz w:val="16"/>
                <w:szCs w:val="16"/>
              </w:rPr>
              <w:t>Studie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[3]</w:t>
            </w:r>
          </w:p>
        </w:tc>
      </w:tr>
      <w:tr w:rsidR="003554A5" w:rsidRPr="003A70FD" w14:paraId="5912485E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896FD" w14:textId="5649FC9B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Gesamtbewertungsfaktor (TAF)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53769" w14:textId="6F6CAA56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B8644" w14:textId="77777777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AD7B7" w14:textId="77777777" w:rsidR="003554A5" w:rsidRPr="004155F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54A5" w:rsidRPr="003A70FD" w14:paraId="0C62E90A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6CDBA" w14:textId="36CF91E4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POD/TAF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C99FD" w14:textId="77777777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Für HBM-I: 0,51</w:t>
            </w:r>
          </w:p>
          <w:p w14:paraId="63319021" w14:textId="77777777" w:rsidR="002058B7" w:rsidRDefault="002058B7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2F479D" w14:textId="684C67A8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Für HBM-II: 1,78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B3338" w14:textId="563195AF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 xml:space="preserve">mg/kg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/d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84BDE" w14:textId="6F9F6498" w:rsidR="003554A5" w:rsidRDefault="004C4298" w:rsidP="004C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Externe </w:t>
            </w:r>
            <w:r w:rsidR="002058B7">
              <w:rPr>
                <w:rFonts w:ascii="Arial" w:hAnsi="Arial" w:cs="Arial"/>
                <w:color w:val="000000"/>
                <w:sz w:val="16"/>
                <w:szCs w:val="16"/>
              </w:rPr>
              <w:t xml:space="preserve">tolerable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Dosis </w:t>
            </w:r>
            <w:r w:rsidR="00253F19">
              <w:rPr>
                <w:rFonts w:ascii="Arial" w:hAnsi="Arial" w:cs="Arial"/>
                <w:color w:val="000000"/>
                <w:sz w:val="16"/>
                <w:szCs w:val="16"/>
              </w:rPr>
              <w:t xml:space="preserve">(ETD)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für </w:t>
            </w:r>
            <w:r w:rsidR="003554A5" w:rsidRPr="00EE488E">
              <w:rPr>
                <w:rFonts w:ascii="Arial" w:hAnsi="Arial" w:cs="Arial"/>
                <w:color w:val="000000"/>
                <w:sz w:val="16"/>
                <w:szCs w:val="16"/>
              </w:rPr>
              <w:t>HBM-I-Wert: 153/300 = 0,51</w:t>
            </w:r>
          </w:p>
          <w:p w14:paraId="02075743" w14:textId="77777777" w:rsidR="002058B7" w:rsidRPr="00EE488E" w:rsidRDefault="002058B7" w:rsidP="004C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334DA1" w14:textId="77777777" w:rsidR="003554A5" w:rsidRDefault="004C4298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Externe Dosis für </w:t>
            </w:r>
            <w:r w:rsidR="003554A5" w:rsidRPr="00EE488E">
              <w:rPr>
                <w:rFonts w:ascii="Arial" w:hAnsi="Arial" w:cs="Arial"/>
                <w:color w:val="000000"/>
                <w:sz w:val="16"/>
                <w:szCs w:val="16"/>
              </w:rPr>
              <w:t>HBM-II-Wert: 534/300 = 1,78</w:t>
            </w:r>
          </w:p>
          <w:p w14:paraId="7C48B55F" w14:textId="1965DFB6" w:rsidR="002058B7" w:rsidRPr="004155F5" w:rsidRDefault="002058B7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54A5" w:rsidRPr="003A70FD" w14:paraId="11FCEECD" w14:textId="77777777" w:rsidTr="0058251E">
        <w:trPr>
          <w:trHeight w:val="336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ADF782" w14:textId="53DC7E39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54A5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Parameter zur Berechnung der HBM-Werte mittels Massenbilanz-Ansatz</w:t>
            </w:r>
          </w:p>
        </w:tc>
      </w:tr>
      <w:tr w:rsidR="003554A5" w:rsidRPr="003A70FD" w14:paraId="07A24649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E745" w14:textId="77777777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Fue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2609" w14:textId="246DB3A5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CPAA: </w:t>
            </w:r>
            <w:r w:rsidRPr="00534714"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  <w:p w14:paraId="59F20FC4" w14:textId="60856C34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DOCCA: 0,0013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B9E8" w14:textId="77777777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BBBE" w14:textId="07D3841E" w:rsidR="003554A5" w:rsidRPr="003A70FD" w:rsidRDefault="004141BC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Ausscheidungsfaktor,</w:t>
            </w:r>
            <w:r w:rsidR="003554A5" w:rsidRPr="00FD1286">
              <w:rPr>
                <w:rFonts w:ascii="Arial" w:hAnsi="Arial" w:cs="Arial"/>
                <w:color w:val="000000"/>
                <w:sz w:val="16"/>
                <w:szCs w:val="16"/>
              </w:rPr>
              <w:t xml:space="preserve"> Anteil der Wirkstoffdosis, die im Urin als spezifischer Metabolit ausgeschieden wurde, molare Basis</w:t>
            </w:r>
            <w:r w:rsidR="003554A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554A5" w:rsidRPr="006930D4">
              <w:rPr>
                <w:rFonts w:ascii="Arial" w:hAnsi="Arial" w:cs="Arial"/>
                <w:color w:val="000000"/>
                <w:sz w:val="16"/>
                <w:szCs w:val="16"/>
              </w:rPr>
              <w:t>[4,5]</w:t>
            </w:r>
          </w:p>
        </w:tc>
      </w:tr>
      <w:tr w:rsidR="003554A5" w:rsidRPr="00BE5BC1" w14:paraId="1553A7E3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E599" w14:textId="036EA057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>Verhältnis der molaren Masse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 xml:space="preserve"> Metaboliten zur molaren Masse </w:t>
            </w:r>
            <w:proofErr w:type="spellStart"/>
            <w:r w:rsidRPr="00704D6A">
              <w:rPr>
                <w:rFonts w:ascii="Arial" w:hAnsi="Arial" w:cs="Arial"/>
                <w:color w:val="000000"/>
                <w:sz w:val="16"/>
                <w:szCs w:val="16"/>
              </w:rPr>
              <w:t>Octocrylen</w:t>
            </w:r>
            <w:proofErr w:type="spellEnd"/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069C" w14:textId="02262B0B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Für CPAA: </w:t>
            </w:r>
            <w:r w:rsidRPr="00534714"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  <w:p w14:paraId="4448E77D" w14:textId="5B232890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Für DOCCA: 1,01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7622" w14:textId="77777777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A996" w14:textId="70A6C662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249,27/36</w:t>
            </w:r>
            <w:r w:rsidR="00BD62E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,48</w:t>
            </w:r>
          </w:p>
          <w:p w14:paraId="6CF1DA61" w14:textId="28C26771" w:rsidR="003554A5" w:rsidRPr="00BE5BC1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363,41/36</w:t>
            </w:r>
            <w:r w:rsidR="00F442D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,48 </w:t>
            </w:r>
          </w:p>
        </w:tc>
      </w:tr>
      <w:tr w:rsidR="003554A5" w:rsidRPr="003A70FD" w14:paraId="1CD75926" w14:textId="77777777" w:rsidTr="00064A35">
        <w:trPr>
          <w:trHeight w:val="544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9D4" w14:textId="2A1F22E6" w:rsidR="003554A5" w:rsidRP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54A5">
              <w:rPr>
                <w:rFonts w:ascii="Arial" w:hAnsi="Arial" w:cs="Arial"/>
                <w:color w:val="000000"/>
                <w:sz w:val="16"/>
                <w:szCs w:val="16"/>
              </w:rPr>
              <w:t xml:space="preserve">Urinvolumen pro kg </w:t>
            </w:r>
            <w:proofErr w:type="spellStart"/>
            <w:r w:rsidRPr="003554A5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3554A5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8422" w14:textId="62771FC0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Männer/Kinder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0,030</w:t>
            </w:r>
          </w:p>
          <w:p w14:paraId="2FFBF234" w14:textId="0D07F448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Frauen: 0,035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75DA" w14:textId="4507256E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/(kg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188B" w14:textId="71ACBC08" w:rsidR="003554A5" w:rsidRPr="003A70FD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Standardwerte [6]</w:t>
            </w:r>
          </w:p>
        </w:tc>
      </w:tr>
      <w:tr w:rsidR="004C4298" w:rsidRPr="003A70FD" w14:paraId="5E12DB16" w14:textId="77777777" w:rsidTr="00253F19">
        <w:trPr>
          <w:trHeight w:val="552"/>
          <w:jc w:val="center"/>
        </w:trPr>
        <w:tc>
          <w:tcPr>
            <w:tcW w:w="9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4606B9" w14:textId="36D0E85B" w:rsidR="004C4298" w:rsidRPr="003A70FD" w:rsidRDefault="004C4298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Pr="006E6325">
              <w:rPr>
                <w:rFonts w:ascii="Arial" w:hAnsi="Arial" w:cs="Arial"/>
                <w:b/>
                <w:color w:val="000000"/>
                <w:sz w:val="16"/>
                <w:szCs w:val="16"/>
              </w:rPr>
              <w:t>Kalkulation der HBM-Werte entsprechend Massenbilanz-Ansatz</w:t>
            </w:r>
          </w:p>
          <w:p w14:paraId="4D8763F7" w14:textId="515E7A75" w:rsidR="004C4298" w:rsidRPr="003A70FD" w:rsidRDefault="004C4298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Pr="006E61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Grundsatzpapier der Kommission Human-Biomonitoring [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6E61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554A5" w:rsidRPr="0071750A" w14:paraId="3A4D8904" w14:textId="77777777" w:rsidTr="00931085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FD6A4E" w14:textId="0419A1F0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85">
              <w:rPr>
                <w:rFonts w:ascii="Arial" w:hAnsi="Arial" w:cs="Arial"/>
                <w:color w:val="000000"/>
                <w:sz w:val="16"/>
                <w:szCs w:val="16"/>
              </w:rPr>
              <w:t>CP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3108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E4153E" w14:textId="77777777" w:rsidR="003554A5" w:rsidRPr="0072655C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0FBC5F" w14:textId="77777777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5BA61F9" w14:textId="77777777" w:rsidR="003554A5" w:rsidRPr="0072655C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3554A5" w:rsidRPr="00854BB9" w14:paraId="6A7B2282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34F4" w14:textId="6EAB6926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5E3C7EB8" w14:textId="5D5B4CFB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EA294" w14:textId="77777777" w:rsidR="002058B7" w:rsidRPr="002058B7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Berechneter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5,28</w:t>
            </w:r>
          </w:p>
          <w:p w14:paraId="6F22F8D3" w14:textId="77777777" w:rsidR="003554A5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Gerundeter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5,3</w:t>
            </w:r>
          </w:p>
          <w:p w14:paraId="51D64AE2" w14:textId="716FAEF3" w:rsidR="002058B7" w:rsidRPr="0072655C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3AB7A" w14:textId="25BDD1C3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625F7" w14:textId="6497A067" w:rsidR="003554A5" w:rsidRPr="00854BB9" w:rsidRDefault="002058B7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58B7">
              <w:rPr>
                <w:rFonts w:ascii="Arial" w:hAnsi="Arial" w:cs="Arial"/>
                <w:color w:val="000000"/>
                <w:sz w:val="16"/>
                <w:szCs w:val="16"/>
              </w:rPr>
              <w:t>[0,51×0,69×0,45] /0,03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54A5" w:rsidRPr="00854BB9" w14:paraId="5C1281B5" w14:textId="77777777" w:rsidTr="00312BA6">
        <w:trPr>
          <w:trHeight w:val="42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C1009" w14:textId="27F180A3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49D87134" w14:textId="752FF3D2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566FD" w14:textId="77777777" w:rsidR="002058B7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3DD85A2A" w14:textId="3F4BEE65" w:rsidR="002058B7" w:rsidRPr="002058B7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Berechneter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4,52</w:t>
            </w:r>
          </w:p>
          <w:p w14:paraId="3283E26A" w14:textId="77777777" w:rsidR="003554A5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Gerundeter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4,5</w:t>
            </w:r>
          </w:p>
          <w:p w14:paraId="0F7BADD6" w14:textId="3007E3FC" w:rsidR="002058B7" w:rsidRPr="0072655C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8AB55" w14:textId="690D6EF0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1A563" w14:textId="7ED006CE" w:rsidR="002058B7" w:rsidRPr="00854BB9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</w:t>
            </w:r>
            <w:r w:rsidR="002058B7" w:rsidRPr="002058B7">
              <w:rPr>
                <w:rFonts w:ascii="Arial" w:hAnsi="Arial" w:cs="Arial"/>
                <w:color w:val="000000"/>
                <w:sz w:val="16"/>
                <w:szCs w:val="16"/>
              </w:rPr>
              <w:t>[0,51×0,69×0,45] /0,035</w:t>
            </w:r>
          </w:p>
        </w:tc>
      </w:tr>
      <w:tr w:rsidR="003554A5" w:rsidRPr="00854BB9" w14:paraId="457DDC5D" w14:textId="77777777" w:rsidTr="00064A35">
        <w:trPr>
          <w:trHeight w:val="625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4CC35" w14:textId="07AB8C58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-Wert</w:t>
            </w:r>
          </w:p>
          <w:p w14:paraId="07A0B75D" w14:textId="28BABA96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8425F" w14:textId="77777777" w:rsidR="002058B7" w:rsidRPr="002058B7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Berechneter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18,4</w:t>
            </w:r>
          </w:p>
          <w:p w14:paraId="3BA72AA0" w14:textId="451726AE" w:rsidR="003554A5" w:rsidRPr="0072655C" w:rsidRDefault="002058B7" w:rsidP="00205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Gerundeter</w:t>
            </w:r>
            <w:proofErr w:type="spellEnd"/>
            <w:r w:rsidRPr="002058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18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B0CAD" w14:textId="35098CC4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20671" w14:textId="2CF3432A" w:rsidR="002058B7" w:rsidRPr="00854BB9" w:rsidRDefault="002058B7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58B7">
              <w:rPr>
                <w:rFonts w:ascii="Arial" w:hAnsi="Arial" w:cs="Arial"/>
                <w:color w:val="000000"/>
                <w:sz w:val="16"/>
                <w:szCs w:val="16"/>
              </w:rPr>
              <w:t>[1,78×0,69×0,45] /0,03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54A5" w:rsidRPr="00854BB9" w14:paraId="4966A898" w14:textId="77777777" w:rsidTr="00064A35">
        <w:trPr>
          <w:trHeight w:val="549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64E0E" w14:textId="61F1D11E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I-Wert</w:t>
            </w:r>
          </w:p>
          <w:p w14:paraId="0C103064" w14:textId="765D321B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B2891" w14:textId="77777777" w:rsidR="00312BA6" w:rsidRPr="00312BA6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312BA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Berechneter</w:t>
            </w:r>
            <w:proofErr w:type="spellEnd"/>
            <w:r w:rsidRPr="00312BA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15,8</w:t>
            </w:r>
          </w:p>
          <w:p w14:paraId="641D1F0D" w14:textId="35503AF0" w:rsidR="003554A5" w:rsidRPr="0072655C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312BA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Gerundeter</w:t>
            </w:r>
            <w:proofErr w:type="spellEnd"/>
            <w:r w:rsidRPr="00312BA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Wert: 16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D34CD" w14:textId="5F018358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78B5" w14:textId="46DCBA0B" w:rsidR="00312BA6" w:rsidRPr="00854BB9" w:rsidRDefault="00312BA6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[1,78×0,69×0,45] /0,035</w:t>
            </w:r>
          </w:p>
        </w:tc>
      </w:tr>
      <w:tr w:rsidR="003554A5" w:rsidRPr="0071750A" w14:paraId="6E444C22" w14:textId="77777777" w:rsidTr="00BD151F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3D7034" w14:textId="42363599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DOCCA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F062BAC" w14:textId="77777777" w:rsidR="003554A5" w:rsidRPr="0072655C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C6227A" w14:textId="77777777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25769E" w14:textId="77777777" w:rsidR="003554A5" w:rsidRPr="0072655C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3554A5" w:rsidRPr="00B11E42" w14:paraId="0E908247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0E916" w14:textId="14F05420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5DA5E2F3" w14:textId="44134458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E8551" w14:textId="77777777" w:rsidR="00312BA6" w:rsidRPr="00312BA6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Berechneter Wert: 0,0223</w:t>
            </w:r>
          </w:p>
          <w:p w14:paraId="40006E73" w14:textId="2B7D6079" w:rsidR="003554A5" w:rsidRPr="00B11E42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Gerundeter Wert: 0,022 (</w:t>
            </w:r>
            <w:r w:rsidRPr="00312BA6">
              <w:rPr>
                <w:rFonts w:ascii="Cambria Math" w:hAnsi="Cambria Math" w:cs="Cambria Math"/>
                <w:color w:val="000000"/>
                <w:sz w:val="16"/>
                <w:szCs w:val="16"/>
              </w:rPr>
              <w:t>≙</w:t>
            </w: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 xml:space="preserve"> 22 µg/L)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A1A60" w14:textId="5C679732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666AE" w14:textId="303A3528" w:rsidR="003554A5" w:rsidRDefault="00312BA6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[0,51×1,01×0,0013] /0,03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4E397D80" w14:textId="57F867D2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54A5" w:rsidRPr="00B11E42" w14:paraId="7970C778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B1294" w14:textId="62D81C80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32BCF63C" w14:textId="372E0654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51AB9" w14:textId="77777777" w:rsidR="00312BA6" w:rsidRPr="00312BA6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Berechneter Wert: 0,0191</w:t>
            </w:r>
          </w:p>
          <w:p w14:paraId="163F3291" w14:textId="003F15FC" w:rsidR="003554A5" w:rsidRPr="00B11E42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Gerundeter Wert: 0,019 (</w:t>
            </w:r>
            <w:r w:rsidRPr="00312BA6">
              <w:rPr>
                <w:rFonts w:ascii="Cambria Math" w:hAnsi="Cambria Math" w:cs="Cambria Math"/>
                <w:color w:val="000000"/>
                <w:sz w:val="16"/>
                <w:szCs w:val="16"/>
              </w:rPr>
              <w:t>≙</w:t>
            </w: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 xml:space="preserve"> 19 µg/L)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3A531" w14:textId="0D20404E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50B57" w14:textId="0551DA8E" w:rsidR="003554A5" w:rsidRPr="00B11E42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</w:t>
            </w: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[0,51×1,01×0,0013] /0,035</w:t>
            </w:r>
          </w:p>
        </w:tc>
      </w:tr>
      <w:tr w:rsidR="003554A5" w:rsidRPr="00B11E42" w14:paraId="3DF2861E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1B920" w14:textId="55918D36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-Wert</w:t>
            </w:r>
          </w:p>
          <w:p w14:paraId="6520C88A" w14:textId="4A37C40F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5FA5F" w14:textId="77777777" w:rsidR="00312BA6" w:rsidRPr="00312BA6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Berechneter Wert: 0,0779</w:t>
            </w:r>
          </w:p>
          <w:p w14:paraId="35BA36DE" w14:textId="45E2C67C" w:rsidR="003554A5" w:rsidRPr="00B11E42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Gerundeter Wert: 0,078 (</w:t>
            </w:r>
            <w:r w:rsidRPr="00312BA6">
              <w:rPr>
                <w:rFonts w:ascii="Cambria Math" w:hAnsi="Cambria Math" w:cs="Cambria Math"/>
                <w:color w:val="000000"/>
                <w:sz w:val="16"/>
                <w:szCs w:val="16"/>
              </w:rPr>
              <w:t>≙</w:t>
            </w: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 xml:space="preserve"> 78 µg/L)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7A93B" w14:textId="294FB81E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1A52" w14:textId="68B9BD99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12BA6" w:rsidRPr="00312BA6">
              <w:rPr>
                <w:rFonts w:ascii="Arial" w:hAnsi="Arial" w:cs="Arial"/>
                <w:color w:val="000000"/>
                <w:sz w:val="16"/>
                <w:szCs w:val="16"/>
              </w:rPr>
              <w:t>[1,78×1,01×0,0013] /0,030</w:t>
            </w:r>
          </w:p>
        </w:tc>
      </w:tr>
      <w:tr w:rsidR="003554A5" w:rsidRPr="00B11E42" w14:paraId="7759A5E0" w14:textId="77777777" w:rsidTr="00607383">
        <w:trPr>
          <w:trHeight w:val="336"/>
          <w:jc w:val="center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0DA29" w14:textId="4BE3237D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I-Wert</w:t>
            </w:r>
          </w:p>
          <w:p w14:paraId="66909D6C" w14:textId="235E2BB7" w:rsidR="003554A5" w:rsidRPr="00B11E42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93EC5" w14:textId="77777777" w:rsidR="00312BA6" w:rsidRPr="00312BA6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Berechneter Wert: 0,0668</w:t>
            </w:r>
          </w:p>
          <w:p w14:paraId="54F414FF" w14:textId="3CF9DBBD" w:rsidR="003554A5" w:rsidRPr="00B11E42" w:rsidRDefault="00312BA6" w:rsidP="00312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Gerundeter Wert: 0,067 (</w:t>
            </w:r>
            <w:r w:rsidRPr="00312BA6">
              <w:rPr>
                <w:rFonts w:ascii="Cambria Math" w:hAnsi="Cambria Math" w:cs="Cambria Math"/>
                <w:color w:val="000000"/>
                <w:sz w:val="16"/>
                <w:szCs w:val="16"/>
              </w:rPr>
              <w:t>≙</w:t>
            </w: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 xml:space="preserve"> 67 µg/l)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64F88" w14:textId="7257312F" w:rsidR="003554A5" w:rsidRDefault="003554A5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5E687" w14:textId="4FD91FB9" w:rsidR="00312BA6" w:rsidRPr="00B11E42" w:rsidRDefault="00312BA6" w:rsidP="0035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BA6">
              <w:rPr>
                <w:rFonts w:ascii="Arial" w:hAnsi="Arial" w:cs="Arial"/>
                <w:color w:val="000000"/>
                <w:sz w:val="16"/>
                <w:szCs w:val="16"/>
              </w:rPr>
              <w:t>[1,78×1,01×0,0013] /0,035</w:t>
            </w:r>
          </w:p>
        </w:tc>
      </w:tr>
    </w:tbl>
    <w:p w14:paraId="58E28B0C" w14:textId="68C3FE52" w:rsidR="00D60C07" w:rsidRPr="00B11E42" w:rsidRDefault="00D60C07" w:rsidP="000910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7D0764D5" w14:textId="7CF5B333" w:rsidR="00791723" w:rsidRDefault="00791723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Begründung</w:t>
      </w:r>
    </w:p>
    <w:p w14:paraId="4B52DE53" w14:textId="1C4C86D9" w:rsidR="00791723" w:rsidRDefault="00987507" w:rsidP="00987507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87507">
        <w:rPr>
          <w:rFonts w:ascii="Arial" w:eastAsia="Times New Roman" w:hAnsi="Arial" w:cs="Arial"/>
          <w:color w:val="000000"/>
          <w:sz w:val="20"/>
          <w:szCs w:val="20"/>
        </w:rPr>
        <w:t>Octocrylen</w:t>
      </w:r>
      <w:proofErr w:type="spellEnd"/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 (OC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wird auf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g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rund seiner UV-absorbierenden Eigenschaften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im UVB-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und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UVA-Bereich als UV-Filter in Sonnenschutzmitteln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eingesetzt, zumeist in Kombination mit anderen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UV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Filtern.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Weiterhin wird es wegen seiner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87507">
        <w:rPr>
          <w:rFonts w:ascii="Arial" w:eastAsia="Times New Roman" w:hAnsi="Arial" w:cs="Arial"/>
          <w:color w:val="000000"/>
          <w:sz w:val="20"/>
          <w:szCs w:val="20"/>
        </w:rPr>
        <w:t>Photostabilität</w:t>
      </w:r>
      <w:proofErr w:type="spellEnd"/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 als Stabilisator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für andere nicht-</w:t>
      </w:r>
      <w:proofErr w:type="spellStart"/>
      <w:r w:rsidRPr="00987507">
        <w:rPr>
          <w:rFonts w:ascii="Arial" w:eastAsia="Times New Roman" w:hAnsi="Arial" w:cs="Arial"/>
          <w:color w:val="000000"/>
          <w:sz w:val="20"/>
          <w:szCs w:val="20"/>
        </w:rPr>
        <w:t>photostabile</w:t>
      </w:r>
      <w:proofErr w:type="spellEnd"/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 UV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Filter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Son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r w:rsidRPr="00987507">
        <w:rPr>
          <w:rFonts w:ascii="Arial" w:eastAsia="Times New Roman" w:hAnsi="Arial" w:cs="Arial"/>
          <w:color w:val="000000"/>
          <w:sz w:val="20"/>
          <w:szCs w:val="20"/>
        </w:rPr>
        <w:lastRenderedPageBreak/>
        <w:t>nenschutzmitteln</w:t>
      </w:r>
      <w:proofErr w:type="spellEnd"/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 und Kosmetika oder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auch als </w:t>
      </w:r>
      <w:proofErr w:type="spellStart"/>
      <w:r w:rsidRPr="00987507">
        <w:rPr>
          <w:rFonts w:ascii="Arial" w:eastAsia="Times New Roman" w:hAnsi="Arial" w:cs="Arial"/>
          <w:color w:val="000000"/>
          <w:sz w:val="20"/>
          <w:szCs w:val="20"/>
        </w:rPr>
        <w:t>Photostabilisator</w:t>
      </w:r>
      <w:proofErr w:type="spellEnd"/>
      <w:r w:rsidRPr="00987507">
        <w:rPr>
          <w:rFonts w:ascii="Arial" w:eastAsia="Times New Roman" w:hAnsi="Arial" w:cs="Arial"/>
          <w:color w:val="000000"/>
          <w:sz w:val="20"/>
          <w:szCs w:val="20"/>
        </w:rPr>
        <w:t xml:space="preserve"> für andere Produkte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7507">
        <w:rPr>
          <w:rFonts w:ascii="Arial" w:eastAsia="Times New Roman" w:hAnsi="Arial" w:cs="Arial"/>
          <w:color w:val="000000"/>
          <w:sz w:val="20"/>
          <w:szCs w:val="20"/>
        </w:rPr>
        <w:t>(z. B. Kunststoffe) verwendet.</w:t>
      </w:r>
    </w:p>
    <w:p w14:paraId="2E1ED511" w14:textId="6554594B" w:rsidR="00774A68" w:rsidRDefault="00EF5FAB" w:rsidP="00774A68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Die erweiterte Ein-Generationen-Studie zur Reproduktionstoxizität </w:t>
      </w:r>
      <w:r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EOGRTS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[2] w</w:t>
      </w:r>
      <w:r w:rsidR="006B66E4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rd als Schlüssel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studie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zur Bewertung der Toxizität von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OC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angesehen und der NOAEL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No</w:t>
      </w:r>
      <w:proofErr w:type="spellEnd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observed</w:t>
      </w:r>
      <w:proofErr w:type="spellEnd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adverse 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effect</w:t>
      </w:r>
      <w:proofErr w:type="spellEnd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von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153 mg/kg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Körpergewicht pro Tag (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KG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/d)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für systemische Toxizität,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Reproduktions- und Entwicklungstoxizität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B66E4">
        <w:rPr>
          <w:rFonts w:ascii="Arial" w:eastAsia="Times New Roman" w:hAnsi="Arial" w:cs="Arial"/>
          <w:color w:val="000000"/>
          <w:sz w:val="20"/>
          <w:szCs w:val="20"/>
        </w:rPr>
        <w:t xml:space="preserve">wurde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als </w:t>
      </w:r>
      <w:r>
        <w:rPr>
          <w:rFonts w:ascii="Arial" w:eastAsia="Times New Roman" w:hAnsi="Arial" w:cs="Arial"/>
          <w:color w:val="000000"/>
          <w:sz w:val="20"/>
          <w:szCs w:val="20"/>
        </w:rPr>
        <w:t>Ausgangspunkt (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POD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; engl.: </w:t>
      </w:r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Point 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of</w:t>
      </w:r>
      <w:proofErr w:type="spellEnd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74A68">
        <w:rPr>
          <w:rFonts w:ascii="Arial" w:eastAsia="Times New Roman" w:hAnsi="Arial" w:cs="Arial"/>
          <w:i/>
          <w:iCs/>
          <w:color w:val="000000"/>
          <w:sz w:val="20"/>
          <w:szCs w:val="20"/>
        </w:rPr>
        <w:t>departure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 für die Ableitung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von HBM-I-Werten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herangezogen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Der LOAEL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>Lowest</w:t>
      </w:r>
      <w:proofErr w:type="spellEnd"/>
      <w:r w:rsidRPr="00EE48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>observed</w:t>
      </w:r>
      <w:proofErr w:type="spellEnd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adverse </w:t>
      </w:r>
      <w:proofErr w:type="spellStart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>effect</w:t>
      </w:r>
      <w:proofErr w:type="spellEnd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EE488E">
        <w:rPr>
          <w:rFonts w:ascii="Arial" w:eastAsia="Times New Roman" w:hAnsi="Arial" w:cs="Arial"/>
          <w:i/>
          <w:iCs/>
          <w:color w:val="000000"/>
          <w:sz w:val="20"/>
          <w:szCs w:val="20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aus der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EOGRTS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in Höhe von 534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 mg/kg 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KG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/d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dient</w:t>
      </w:r>
      <w:r w:rsidR="006B66E4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 als Basis für die Ableitung von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HBM-II-Werten. Unterstützend w</w:t>
      </w:r>
      <w:r w:rsidR="006B66E4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rd</w:t>
      </w:r>
      <w:r w:rsidR="006B66E4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 die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mechanistische subakute Fütterungsstudie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 xml:space="preserve">an </w:t>
      </w:r>
      <w:proofErr w:type="spellStart"/>
      <w:r w:rsidRPr="00EF5FAB">
        <w:rPr>
          <w:rFonts w:ascii="Arial" w:eastAsia="Times New Roman" w:hAnsi="Arial" w:cs="Arial"/>
          <w:color w:val="000000"/>
          <w:sz w:val="20"/>
          <w:szCs w:val="20"/>
        </w:rPr>
        <w:t>Wistar</w:t>
      </w:r>
      <w:proofErr w:type="spellEnd"/>
      <w:r w:rsidRPr="00EF5FAB">
        <w:rPr>
          <w:rFonts w:ascii="Arial" w:eastAsia="Times New Roman" w:hAnsi="Arial" w:cs="Arial"/>
          <w:color w:val="000000"/>
          <w:sz w:val="20"/>
          <w:szCs w:val="20"/>
        </w:rPr>
        <w:t>-Ratten [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EF5FAB">
        <w:rPr>
          <w:rFonts w:ascii="Arial" w:eastAsia="Times New Roman" w:hAnsi="Arial" w:cs="Arial"/>
          <w:color w:val="000000"/>
          <w:sz w:val="20"/>
          <w:szCs w:val="20"/>
        </w:rPr>
        <w:t>] herangezogen.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Unter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C4C">
        <w:rPr>
          <w:rFonts w:ascii="Arial" w:eastAsia="Times New Roman" w:hAnsi="Arial" w:cs="Arial"/>
          <w:color w:val="000000"/>
          <w:sz w:val="20"/>
          <w:szCs w:val="20"/>
        </w:rPr>
        <w:t>Berücksich-tigung</w:t>
      </w:r>
      <w:proofErr w:type="spellEnd"/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eines Gesamt-Unsicherheitsfaktor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611C4C">
        <w:rPr>
          <w:rFonts w:ascii="Arial" w:eastAsia="Times New Roman" w:hAnsi="Arial" w:cs="Arial"/>
          <w:color w:val="000000"/>
          <w:sz w:val="20"/>
          <w:szCs w:val="20"/>
        </w:rPr>
        <w:t xml:space="preserve"> von 300 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wurde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von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 de</w:t>
      </w:r>
      <w:r w:rsidR="00966599">
        <w:rPr>
          <w:rFonts w:ascii="Arial" w:eastAsia="Times New Roman" w:hAnsi="Arial" w:cs="Arial"/>
          <w:color w:val="000000"/>
          <w:sz w:val="20"/>
          <w:szCs w:val="20"/>
        </w:rPr>
        <w:t>m NOAEL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 ein TDI-analoger Wert (TDI für täglich tolerierbare Aufnahmemange; engl.: </w:t>
      </w:r>
      <w:r w:rsidR="007A4DB8" w:rsidRPr="007A4DB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Tolerable </w:t>
      </w:r>
      <w:proofErr w:type="spellStart"/>
      <w:r w:rsidR="007A4DB8" w:rsidRPr="007A4DB8">
        <w:rPr>
          <w:rFonts w:ascii="Arial" w:eastAsia="Times New Roman" w:hAnsi="Arial" w:cs="Arial"/>
          <w:i/>
          <w:iCs/>
          <w:color w:val="000000"/>
          <w:sz w:val="20"/>
          <w:szCs w:val="20"/>
        </w:rPr>
        <w:t>daily</w:t>
      </w:r>
      <w:proofErr w:type="spellEnd"/>
      <w:r w:rsidR="007A4DB8" w:rsidRPr="007A4DB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7A4DB8" w:rsidRPr="007A4DB8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intake</w:t>
      </w:r>
      <w:proofErr w:type="spellEnd"/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) von 0,51 mg/kg 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>KG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/d zur Ableitung </w:t>
      </w:r>
      <w:r w:rsidR="005A4E2E">
        <w:rPr>
          <w:rFonts w:ascii="Arial" w:eastAsia="Times New Roman" w:hAnsi="Arial" w:cs="Arial"/>
          <w:color w:val="000000"/>
          <w:sz w:val="20"/>
          <w:szCs w:val="20"/>
        </w:rPr>
        <w:t>der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 HBM-I-Werte und </w:t>
      </w:r>
      <w:r w:rsidR="00160FD8">
        <w:rPr>
          <w:rFonts w:ascii="Arial" w:eastAsia="Times New Roman" w:hAnsi="Arial" w:cs="Arial"/>
          <w:color w:val="000000"/>
          <w:sz w:val="20"/>
          <w:szCs w:val="20"/>
        </w:rPr>
        <w:t xml:space="preserve">von dem LOAEL 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 xml:space="preserve">eine externe Dosis 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von 1,78 mg/kg 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>KG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/d zur Ableitung </w:t>
      </w:r>
      <w:r w:rsidR="005A4E2E">
        <w:rPr>
          <w:rFonts w:ascii="Arial" w:eastAsia="Times New Roman" w:hAnsi="Arial" w:cs="Arial"/>
          <w:color w:val="000000"/>
          <w:sz w:val="20"/>
          <w:szCs w:val="20"/>
        </w:rPr>
        <w:t>der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 HBM-II-Werte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 xml:space="preserve"> kalkuliert</w:t>
      </w:r>
      <w:r w:rsidR="007A4DB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>ie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OC-Metaboliten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CP</w:t>
      </w:r>
      <w:r w:rsidR="005A4E2E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Esterhydrolyseprodukt</w:t>
      </w:r>
      <w:proofErr w:type="spellEnd"/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2-Cyano-3,3-diphenyl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acryls</w:t>
      </w:r>
      <w:r w:rsidR="00B25467">
        <w:rPr>
          <w:rFonts w:ascii="Arial" w:eastAsia="Times New Roman" w:hAnsi="Arial" w:cs="Arial"/>
          <w:color w:val="000000"/>
          <w:sz w:val="20"/>
          <w:szCs w:val="20"/>
        </w:rPr>
        <w:t>ä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ure)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mit einem Fue von 45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%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und DOCCA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(Beta-Oxidationsprodukt 2-(</w:t>
      </w:r>
      <w:proofErr w:type="spellStart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Carboxymethyl</w:t>
      </w:r>
      <w:proofErr w:type="spellEnd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)</w:t>
      </w:r>
      <w:proofErr w:type="spellStart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butyl</w:t>
      </w:r>
      <w:proofErr w:type="spellEnd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 xml:space="preserve"> 2-cyano-3,3-diphenylacrylat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Dinor</w:t>
      </w:r>
      <w:proofErr w:type="spellEnd"/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-OC-Carbonsäure)) mit einem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Fue von 0,13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% stellen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die für ein Human-Biomonitoring relevanten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Expositionsbiomarker dar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[4,5]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Es wurden auf Basis der dargelegten PODs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 xml:space="preserve">und </w:t>
      </w:r>
      <w:r w:rsidR="00160FD8">
        <w:rPr>
          <w:rFonts w:ascii="Arial" w:eastAsia="Times New Roman" w:hAnsi="Arial" w:cs="Arial"/>
          <w:color w:val="000000"/>
          <w:sz w:val="20"/>
          <w:szCs w:val="20"/>
        </w:rPr>
        <w:t>Bewertungs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faktoren HBM-I- und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HBM-II-Werte jeweils separat für die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Biomarker CP</w:t>
      </w:r>
      <w:r w:rsidR="005A4E2E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und DOCCA</w:t>
      </w:r>
      <w:r w:rsidR="004905C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abgeleitet</w:t>
      </w:r>
      <w:r w:rsidR="00774A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4A68" w:rsidRPr="00774A68">
        <w:rPr>
          <w:rFonts w:ascii="Arial" w:eastAsia="Times New Roman" w:hAnsi="Arial" w:cs="Arial"/>
          <w:color w:val="000000"/>
          <w:sz w:val="20"/>
          <w:szCs w:val="20"/>
        </w:rPr>
        <w:t>und beschlossen.</w:t>
      </w:r>
      <w:r w:rsidR="004905C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8F71B10" w14:textId="60A76D7C" w:rsidR="005A4E2E" w:rsidRPr="00257CF9" w:rsidRDefault="005A4E2E" w:rsidP="00774A68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Für den </w:t>
      </w:r>
      <w:r w:rsidRPr="00257CF9">
        <w:rPr>
          <w:rFonts w:ascii="Arial" w:eastAsia="Times New Roman" w:hAnsi="Arial" w:cs="Arial"/>
          <w:b/>
          <w:bCs/>
          <w:color w:val="000000"/>
          <w:sz w:val="20"/>
          <w:szCs w:val="20"/>
        </w:rPr>
        <w:t>Biomarker CPAA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wurden HBM-I-Werte für Kinder und Männer von 5,</w:t>
      </w:r>
      <w:r w:rsidR="00C07658" w:rsidRPr="00257CF9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mg/L und für Frauen von 4,5 mg/L Urin abgeleitet. Der HBM-II-Wert für Kinder und Männer beträgt 18 und für Frauen 1</w:t>
      </w:r>
      <w:r w:rsidR="00C07658" w:rsidRPr="00257CF9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mg/L. </w:t>
      </w:r>
    </w:p>
    <w:p w14:paraId="2B94B676" w14:textId="75B48249" w:rsidR="004905C4" w:rsidRPr="00791723" w:rsidRDefault="004905C4" w:rsidP="00774A68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Für den </w:t>
      </w:r>
      <w:r w:rsidRPr="00257C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Biomarker </w:t>
      </w:r>
      <w:r w:rsidR="00000BD0" w:rsidRPr="00257CF9">
        <w:rPr>
          <w:rFonts w:ascii="Arial" w:eastAsia="Times New Roman" w:hAnsi="Arial" w:cs="Arial"/>
          <w:b/>
          <w:bCs/>
          <w:color w:val="000000"/>
          <w:sz w:val="20"/>
          <w:szCs w:val="20"/>
        </w:rPr>
        <w:t>DOCCA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A4E2E" w:rsidRPr="00257CF9">
        <w:rPr>
          <w:rFonts w:ascii="Arial" w:eastAsia="Times New Roman" w:hAnsi="Arial" w:cs="Arial"/>
          <w:color w:val="000000"/>
          <w:sz w:val="20"/>
          <w:szCs w:val="20"/>
        </w:rPr>
        <w:t>betragen die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HBM-I-Wert</w:t>
      </w:r>
      <w:r w:rsidR="005A4E2E" w:rsidRPr="00257CF9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für Kinder und Männer </w:t>
      </w:r>
      <w:r w:rsidR="00000BD0" w:rsidRPr="00257CF9">
        <w:rPr>
          <w:rFonts w:ascii="Arial" w:eastAsia="Times New Roman" w:hAnsi="Arial" w:cs="Arial"/>
          <w:color w:val="000000"/>
          <w:sz w:val="20"/>
          <w:szCs w:val="20"/>
        </w:rPr>
        <w:t>22 µg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5A4E2E" w:rsidRPr="00257CF9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und für Frauen von </w:t>
      </w:r>
      <w:r w:rsidR="00E535A8" w:rsidRPr="00257CF9">
        <w:rPr>
          <w:rFonts w:ascii="Arial" w:eastAsia="Times New Roman" w:hAnsi="Arial" w:cs="Arial"/>
          <w:color w:val="000000"/>
          <w:sz w:val="20"/>
          <w:szCs w:val="20"/>
        </w:rPr>
        <w:t>19 µ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>g/</w:t>
      </w:r>
      <w:r w:rsidR="005A4E2E" w:rsidRPr="00257CF9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616837"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Der HBM-II-Wert für Kinder und Männer beträgt </w:t>
      </w:r>
      <w:r w:rsidR="00E535A8" w:rsidRPr="00257CF9">
        <w:rPr>
          <w:rFonts w:ascii="Arial" w:eastAsia="Times New Roman" w:hAnsi="Arial" w:cs="Arial"/>
          <w:color w:val="000000"/>
          <w:sz w:val="20"/>
          <w:szCs w:val="20"/>
        </w:rPr>
        <w:t>78</w:t>
      </w:r>
      <w:r w:rsidR="00616837"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und für Frauen </w:t>
      </w:r>
      <w:r w:rsidR="00E535A8" w:rsidRPr="00257CF9">
        <w:rPr>
          <w:rFonts w:ascii="Arial" w:eastAsia="Times New Roman" w:hAnsi="Arial" w:cs="Arial"/>
          <w:color w:val="000000"/>
          <w:sz w:val="20"/>
          <w:szCs w:val="20"/>
        </w:rPr>
        <w:t>67</w:t>
      </w:r>
      <w:r w:rsidR="00616837" w:rsidRPr="00257C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535A8" w:rsidRPr="00257CF9">
        <w:rPr>
          <w:rFonts w:ascii="Arial" w:eastAsia="Times New Roman" w:hAnsi="Arial" w:cs="Arial"/>
          <w:color w:val="000000"/>
          <w:sz w:val="20"/>
          <w:szCs w:val="20"/>
        </w:rPr>
        <w:t>µ</w:t>
      </w:r>
      <w:r w:rsidR="00616837" w:rsidRPr="00257CF9">
        <w:rPr>
          <w:rFonts w:ascii="Arial" w:eastAsia="Times New Roman" w:hAnsi="Arial" w:cs="Arial"/>
          <w:color w:val="000000"/>
          <w:sz w:val="20"/>
          <w:szCs w:val="20"/>
        </w:rPr>
        <w:t>g/</w:t>
      </w:r>
      <w:r w:rsidR="005A4E2E" w:rsidRPr="00257CF9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616837" w:rsidRPr="00257CF9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A82A0DE" w14:textId="4854AC87" w:rsidR="00D52F76" w:rsidRPr="00BC6035" w:rsidRDefault="00B11E42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C603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Referenzen</w:t>
      </w:r>
    </w:p>
    <w:p w14:paraId="39FA60D2" w14:textId="54F1AD37" w:rsidR="0071750A" w:rsidRPr="00704D6A" w:rsidRDefault="0071750A" w:rsidP="00BC6035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eastAsia="Times New Roman" w:hAnsi="Arial" w:cs="Arial"/>
          <w:sz w:val="18"/>
          <w:szCs w:val="18"/>
          <w:lang w:val="en-GB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Kommission Human-Biomonitoring des Umweltbundesamtes (2023) </w:t>
      </w:r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Stoffmonographie für 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</w:rPr>
        <w:t>Octocrylen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– HBM-​Werte für die Metaboliten 2-Cyano-3,3-diphenylacrylsäure (CPAA) und 2-(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</w:rPr>
        <w:t>Carboxymethyl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</w:rPr>
        <w:t>)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</w:rPr>
        <w:t>butyl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2-cyano-3,3-diphenylacrylat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C6035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</w:rPr>
        <w:t>Dinor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-OC-​Carbonsäure, DOCCA) im Urin der Allgemeinbevölkerung. </w:t>
      </w:r>
      <w:proofErr w:type="spellStart"/>
      <w:r w:rsidRPr="00704D6A">
        <w:rPr>
          <w:rFonts w:ascii="Arial" w:eastAsia="Times New Roman" w:hAnsi="Arial" w:cs="Arial"/>
          <w:color w:val="000000"/>
          <w:sz w:val="18"/>
          <w:szCs w:val="18"/>
          <w:lang w:val="en-GB"/>
        </w:rPr>
        <w:t>Bundesgesundheitsbl</w:t>
      </w:r>
      <w:proofErr w:type="spellEnd"/>
      <w:r w:rsidRPr="00704D6A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66</w:t>
      </w:r>
      <w:r w:rsidR="00BC6035" w:rsidRPr="00704D6A">
        <w:rPr>
          <w:rFonts w:ascii="Arial" w:eastAsia="Times New Roman" w:hAnsi="Arial" w:cs="Arial"/>
          <w:color w:val="000000"/>
          <w:sz w:val="18"/>
          <w:szCs w:val="18"/>
          <w:lang w:val="en-GB"/>
        </w:rPr>
        <w:t>:</w:t>
      </w:r>
      <w:r w:rsidRPr="00704D6A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1304–1314.</w:t>
      </w:r>
      <w:r w:rsidR="00BC6035" w:rsidRPr="00704D6A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</w:t>
      </w:r>
      <w:hyperlink r:id="rId10" w:history="1">
        <w:r w:rsidR="00BC6035" w:rsidRPr="00BC6035">
          <w:rPr>
            <w:rStyle w:val="Hyperlink"/>
            <w:rFonts w:ascii="Arial" w:eastAsia="Times New Roman" w:hAnsi="Arial" w:cs="Arial"/>
            <w:sz w:val="18"/>
            <w:szCs w:val="18"/>
            <w:lang w:val="en-GB"/>
          </w:rPr>
          <w:t>https://doi.org/10.1007/s00103-023-03785-2</w:t>
        </w:r>
      </w:hyperlink>
    </w:p>
    <w:p w14:paraId="4412C176" w14:textId="77777777" w:rsidR="00BC6035" w:rsidRPr="00704D6A" w:rsidRDefault="00BC6035" w:rsidP="00BC60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3CBB7532" w14:textId="030A375B" w:rsidR="007F2365" w:rsidRPr="00BC6035" w:rsidRDefault="007F2365" w:rsidP="007F2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2. Triskelion BV (2019) Extended One Generation Reproductive Toxicity Study (EOGRTS) according OECD Test Guideline 443. Testing laboratory: Triskelion BV, Report no: 03R0495/00X056, Owner company: BASF SE; DSM</w:t>
      </w:r>
    </w:p>
    <w:p w14:paraId="32731563" w14:textId="77777777" w:rsidR="007F2365" w:rsidRPr="00BC6035" w:rsidRDefault="007F2365" w:rsidP="007F2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14:paraId="4BCC1AA2" w14:textId="7EB75C6A" w:rsidR="007F2365" w:rsidRPr="00BC6035" w:rsidRDefault="007F2365" w:rsidP="007F2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3. BASF SE (2019) Octocrylene—Mechanistic study in Wistar rats on thyroid toxicity via enzyme induction in the liver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Administration via the diet for 4 weeks (study report)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Testing laboratory: BASF SE, Report no: 99C0495/00S048. Owner company; BASF SE; DSM Nutritional Products AG; Merck 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KGaA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; Symrise AG</w:t>
      </w:r>
    </w:p>
    <w:p w14:paraId="42EB00EE" w14:textId="77777777" w:rsidR="00F42892" w:rsidRPr="00BC6035" w:rsidRDefault="00F42892" w:rsidP="007F2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14:paraId="38FE6DB5" w14:textId="4973A861" w:rsidR="00F42892" w:rsidRPr="00BC6035" w:rsidRDefault="00F42892" w:rsidP="00F42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4. Bury D, Belov VN, Qi Y, 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Hayen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H, Volmer DA, Brüning T, Koch HM (2018) Determination of urinary metabolites of the emerging UV filter octocrylene by online-SPE-LC-MS/MS. Anal Chem 90(1):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944–951.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hyperlink r:id="rId11" w:history="1">
        <w:r w:rsidRPr="00BC6035">
          <w:rPr>
            <w:rStyle w:val="Hyperlink"/>
            <w:rFonts w:ascii="Arial" w:eastAsia="Times New Roman" w:hAnsi="Arial" w:cs="Arial"/>
            <w:sz w:val="18"/>
            <w:szCs w:val="18"/>
            <w:lang w:val="en-US"/>
          </w:rPr>
          <w:t>https://doi.org/10.1021/acs.analchem.7b03996</w:t>
        </w:r>
      </w:hyperlink>
    </w:p>
    <w:p w14:paraId="552237C5" w14:textId="77777777" w:rsidR="007F2365" w:rsidRPr="00BC6035" w:rsidRDefault="007F2365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14:paraId="6B2467D1" w14:textId="750F63E2" w:rsidR="00F42892" w:rsidRPr="00BC6035" w:rsidRDefault="00F42892" w:rsidP="00F42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>5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r w:rsidRPr="00BC603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Bury et al (2019) Urinary metabolites of the UV filter octocrylene in humans as biomarkers of exposure. </w:t>
      </w:r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Arch </w:t>
      </w:r>
      <w:proofErr w:type="spellStart"/>
      <w:r w:rsidRPr="00BC6035">
        <w:rPr>
          <w:rFonts w:ascii="Arial" w:eastAsia="Times New Roman" w:hAnsi="Arial" w:cs="Arial"/>
          <w:color w:val="000000"/>
          <w:sz w:val="18"/>
          <w:szCs w:val="18"/>
        </w:rPr>
        <w:t>Toxicol</w:t>
      </w:r>
      <w:proofErr w:type="spellEnd"/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93(5):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C6035">
        <w:rPr>
          <w:rFonts w:ascii="Arial" w:eastAsia="Times New Roman" w:hAnsi="Arial" w:cs="Arial"/>
          <w:color w:val="000000"/>
          <w:sz w:val="18"/>
          <w:szCs w:val="18"/>
        </w:rPr>
        <w:t>1227–1238</w:t>
      </w:r>
    </w:p>
    <w:p w14:paraId="62CFDC95" w14:textId="77777777" w:rsidR="00F42892" w:rsidRPr="00BC6035" w:rsidRDefault="00F42892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6E4DC57" w14:textId="5A2014EF" w:rsidR="00C2363A" w:rsidRPr="00BC6035" w:rsidRDefault="00F42892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Kommission Human-Biomonitoring des Umweltbundesamtes (2025) 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Änderung des Leitwertes für die körpergewichtsnormierte tägliche Urinausscheidung von Erwachsenen. </w:t>
      </w:r>
      <w:proofErr w:type="spellStart"/>
      <w:r w:rsidR="00C2363A" w:rsidRPr="00BC6035">
        <w:rPr>
          <w:rFonts w:ascii="Arial" w:eastAsia="Times New Roman" w:hAnsi="Arial" w:cs="Arial"/>
          <w:i/>
          <w:iCs/>
          <w:color w:val="000000"/>
          <w:sz w:val="18"/>
          <w:szCs w:val="18"/>
        </w:rPr>
        <w:t>Bundesgesundheitsbl</w:t>
      </w:r>
      <w:proofErr w:type="spellEnd"/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68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830–837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hyperlink r:id="rId12" w:history="1">
        <w:r w:rsidR="00C2363A" w:rsidRPr="00BC6035">
          <w:rPr>
            <w:rStyle w:val="Hyperlink"/>
            <w:rFonts w:ascii="Arial" w:eastAsia="Times New Roman" w:hAnsi="Arial" w:cs="Arial"/>
            <w:sz w:val="18"/>
            <w:szCs w:val="18"/>
          </w:rPr>
          <w:t>https://doi.org/10.1007/s00103-025-04062-0</w:t>
        </w:r>
      </w:hyperlink>
    </w:p>
    <w:p w14:paraId="34E5CC4C" w14:textId="77777777" w:rsidR="00C2363A" w:rsidRPr="00BC6035" w:rsidRDefault="00C2363A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EDB5F84" w14:textId="14B2EE09" w:rsidR="00C2363A" w:rsidRPr="00BC6035" w:rsidRDefault="00F42892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C6035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bookmarkStart w:id="0" w:name="_Hlk221286068"/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Kommission Human-Biomonitoring des Umweltbundesamtes </w:t>
      </w:r>
      <w:bookmarkEnd w:id="0"/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(2014) Grundsatzpapier zur Ableitung von HBM-Werten. Stellungnahme der Kommission Human-Biomonitoring des Umweltbundesamtes. </w:t>
      </w:r>
      <w:proofErr w:type="spellStart"/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>Bundesgesundheitsbl</w:t>
      </w:r>
      <w:proofErr w:type="spellEnd"/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Gesundheitsforsch Gesundheitsschutz 57(1):138-147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0EC37F9" w14:textId="451DD394" w:rsidR="00C2363A" w:rsidRPr="00BC6035" w:rsidRDefault="00160FD8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hyperlink r:id="rId13" w:history="1">
        <w:r w:rsidR="00C2363A" w:rsidRPr="00BC6035">
          <w:rPr>
            <w:rStyle w:val="Hyperlink"/>
            <w:rFonts w:ascii="Arial" w:eastAsia="Times New Roman" w:hAnsi="Arial" w:cs="Arial"/>
            <w:sz w:val="18"/>
            <w:szCs w:val="18"/>
          </w:rPr>
          <w:t>http://link.springer.com/article/10.1007/s00103-013-1867-2</w:t>
        </w:r>
      </w:hyperlink>
    </w:p>
    <w:p w14:paraId="7C6FFCB8" w14:textId="77777777" w:rsidR="00D52F76" w:rsidRPr="00C2363A" w:rsidRDefault="00D52F76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357B1D2" w14:textId="200905EE" w:rsidR="00D52F76" w:rsidRPr="00C2363A" w:rsidRDefault="00D52F76" w:rsidP="000910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D52F76" w:rsidRPr="00C2363A" w:rsidSect="00B657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0F01" w14:textId="77777777" w:rsidR="00EE488E" w:rsidRDefault="00EE488E" w:rsidP="00EE488E">
      <w:pPr>
        <w:spacing w:after="0" w:line="240" w:lineRule="auto"/>
      </w:pPr>
      <w:r>
        <w:separator/>
      </w:r>
    </w:p>
  </w:endnote>
  <w:endnote w:type="continuationSeparator" w:id="0">
    <w:p w14:paraId="18C34C48" w14:textId="77777777" w:rsidR="00EE488E" w:rsidRDefault="00EE488E" w:rsidP="00EE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FBC4" w14:textId="77777777" w:rsidR="00EE488E" w:rsidRDefault="00EE488E" w:rsidP="00EE488E">
      <w:pPr>
        <w:spacing w:after="0" w:line="240" w:lineRule="auto"/>
      </w:pPr>
      <w:r>
        <w:separator/>
      </w:r>
    </w:p>
  </w:footnote>
  <w:footnote w:type="continuationSeparator" w:id="0">
    <w:p w14:paraId="0C5CB1B8" w14:textId="77777777" w:rsidR="00EE488E" w:rsidRDefault="00EE488E" w:rsidP="00EE488E">
      <w:pPr>
        <w:spacing w:after="0" w:line="240" w:lineRule="auto"/>
      </w:pPr>
      <w:r>
        <w:continuationSeparator/>
      </w:r>
    </w:p>
  </w:footnote>
  <w:footnote w:id="1">
    <w:p w14:paraId="4C8B0295" w14:textId="77777777" w:rsidR="00290164" w:rsidRDefault="00EE488E" w:rsidP="0029016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290164" w:rsidRPr="00122F9D">
        <w:rPr>
          <w:sz w:val="16"/>
          <w:szCs w:val="16"/>
        </w:rPr>
        <w:t>Die Aktualisierung der HBM-Werte erfolgte aufgrund der Aktualisierung der in die Berechnung eingehenden Urinvolumina sowie der Anwendung eines systematischen Rundens der berechneten Werte.</w:t>
      </w:r>
    </w:p>
    <w:p w14:paraId="017ACCCB" w14:textId="0BEEEB7E" w:rsidR="00EE488E" w:rsidRDefault="00EE488E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760"/>
    <w:multiLevelType w:val="hybridMultilevel"/>
    <w:tmpl w:val="A532E4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276"/>
    <w:multiLevelType w:val="multilevel"/>
    <w:tmpl w:val="5AFA9D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764663"/>
    <w:multiLevelType w:val="hybridMultilevel"/>
    <w:tmpl w:val="0378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51E1"/>
    <w:multiLevelType w:val="hybridMultilevel"/>
    <w:tmpl w:val="89F61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0CBF"/>
    <w:multiLevelType w:val="hybridMultilevel"/>
    <w:tmpl w:val="058E7050"/>
    <w:lvl w:ilvl="0" w:tplc="0407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3B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327045"/>
    <w:multiLevelType w:val="multilevel"/>
    <w:tmpl w:val="A9F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43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2764F"/>
    <w:multiLevelType w:val="hybridMultilevel"/>
    <w:tmpl w:val="2BCC9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3181">
    <w:abstractNumId w:val="1"/>
  </w:num>
  <w:num w:numId="2" w16cid:durableId="1275404407">
    <w:abstractNumId w:val="6"/>
  </w:num>
  <w:num w:numId="3" w16cid:durableId="2135975658">
    <w:abstractNumId w:val="2"/>
  </w:num>
  <w:num w:numId="4" w16cid:durableId="1791587121">
    <w:abstractNumId w:val="8"/>
  </w:num>
  <w:num w:numId="5" w16cid:durableId="850804917">
    <w:abstractNumId w:val="0"/>
  </w:num>
  <w:num w:numId="6" w16cid:durableId="361053757">
    <w:abstractNumId w:val="3"/>
  </w:num>
  <w:num w:numId="7" w16cid:durableId="166756160">
    <w:abstractNumId w:val="7"/>
  </w:num>
  <w:num w:numId="8" w16cid:durableId="1285766058">
    <w:abstractNumId w:val="5"/>
  </w:num>
  <w:num w:numId="9" w16cid:durableId="1947106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CE"/>
    <w:rsid w:val="00000BD0"/>
    <w:rsid w:val="00003322"/>
    <w:rsid w:val="00011004"/>
    <w:rsid w:val="000223C4"/>
    <w:rsid w:val="0003166E"/>
    <w:rsid w:val="00033BFC"/>
    <w:rsid w:val="00035F8A"/>
    <w:rsid w:val="00043289"/>
    <w:rsid w:val="00056381"/>
    <w:rsid w:val="00062DA1"/>
    <w:rsid w:val="00064A35"/>
    <w:rsid w:val="0009100D"/>
    <w:rsid w:val="00097843"/>
    <w:rsid w:val="000A146F"/>
    <w:rsid w:val="000A45B8"/>
    <w:rsid w:val="000B377C"/>
    <w:rsid w:val="000B411A"/>
    <w:rsid w:val="000C1203"/>
    <w:rsid w:val="000D02EA"/>
    <w:rsid w:val="000D6E9F"/>
    <w:rsid w:val="000F12FA"/>
    <w:rsid w:val="000F53C8"/>
    <w:rsid w:val="00106B03"/>
    <w:rsid w:val="001201D7"/>
    <w:rsid w:val="001253D8"/>
    <w:rsid w:val="00133847"/>
    <w:rsid w:val="001412FE"/>
    <w:rsid w:val="001527E4"/>
    <w:rsid w:val="00154F9E"/>
    <w:rsid w:val="001565B0"/>
    <w:rsid w:val="001605BF"/>
    <w:rsid w:val="00160FD8"/>
    <w:rsid w:val="00176CC4"/>
    <w:rsid w:val="00186E9D"/>
    <w:rsid w:val="00187C8D"/>
    <w:rsid w:val="00193A6D"/>
    <w:rsid w:val="001A1DB1"/>
    <w:rsid w:val="001A2A2D"/>
    <w:rsid w:val="001A6270"/>
    <w:rsid w:val="001B109C"/>
    <w:rsid w:val="001B43DB"/>
    <w:rsid w:val="001C3899"/>
    <w:rsid w:val="001C7605"/>
    <w:rsid w:val="001D0B49"/>
    <w:rsid w:val="001D132A"/>
    <w:rsid w:val="001F12EE"/>
    <w:rsid w:val="00200D2F"/>
    <w:rsid w:val="002011F9"/>
    <w:rsid w:val="002058B7"/>
    <w:rsid w:val="00206547"/>
    <w:rsid w:val="002147A2"/>
    <w:rsid w:val="0021729E"/>
    <w:rsid w:val="00223C47"/>
    <w:rsid w:val="002253F6"/>
    <w:rsid w:val="00225DB8"/>
    <w:rsid w:val="00233261"/>
    <w:rsid w:val="00236A5D"/>
    <w:rsid w:val="00253F19"/>
    <w:rsid w:val="00254C74"/>
    <w:rsid w:val="00255467"/>
    <w:rsid w:val="002570DD"/>
    <w:rsid w:val="002577FE"/>
    <w:rsid w:val="00257CF9"/>
    <w:rsid w:val="002701D8"/>
    <w:rsid w:val="002800F5"/>
    <w:rsid w:val="00285E5D"/>
    <w:rsid w:val="00290164"/>
    <w:rsid w:val="00292EBB"/>
    <w:rsid w:val="002E1984"/>
    <w:rsid w:val="002E5247"/>
    <w:rsid w:val="002E6685"/>
    <w:rsid w:val="002F7B77"/>
    <w:rsid w:val="0030207B"/>
    <w:rsid w:val="00305804"/>
    <w:rsid w:val="00312BA6"/>
    <w:rsid w:val="00316858"/>
    <w:rsid w:val="00340D37"/>
    <w:rsid w:val="00342B1E"/>
    <w:rsid w:val="00347F74"/>
    <w:rsid w:val="00351542"/>
    <w:rsid w:val="003554A5"/>
    <w:rsid w:val="00360B12"/>
    <w:rsid w:val="00364E7A"/>
    <w:rsid w:val="00397816"/>
    <w:rsid w:val="003A5798"/>
    <w:rsid w:val="003A70FD"/>
    <w:rsid w:val="003B3E4F"/>
    <w:rsid w:val="003B7903"/>
    <w:rsid w:val="003C2A06"/>
    <w:rsid w:val="003D4112"/>
    <w:rsid w:val="00403A47"/>
    <w:rsid w:val="00413A63"/>
    <w:rsid w:val="004141BC"/>
    <w:rsid w:val="004155F5"/>
    <w:rsid w:val="0043009E"/>
    <w:rsid w:val="00447673"/>
    <w:rsid w:val="004717CF"/>
    <w:rsid w:val="0048595A"/>
    <w:rsid w:val="0048641C"/>
    <w:rsid w:val="004905C4"/>
    <w:rsid w:val="0049287D"/>
    <w:rsid w:val="004A39D2"/>
    <w:rsid w:val="004B6FF1"/>
    <w:rsid w:val="004C2866"/>
    <w:rsid w:val="004C4298"/>
    <w:rsid w:val="004D2F00"/>
    <w:rsid w:val="004D7FF3"/>
    <w:rsid w:val="004E43D6"/>
    <w:rsid w:val="004E5733"/>
    <w:rsid w:val="004F24C7"/>
    <w:rsid w:val="004F2DC3"/>
    <w:rsid w:val="004F2E5F"/>
    <w:rsid w:val="0052534E"/>
    <w:rsid w:val="00525F07"/>
    <w:rsid w:val="00534714"/>
    <w:rsid w:val="00537941"/>
    <w:rsid w:val="00561E49"/>
    <w:rsid w:val="00561FEC"/>
    <w:rsid w:val="00574DDE"/>
    <w:rsid w:val="00581C14"/>
    <w:rsid w:val="005874AC"/>
    <w:rsid w:val="005A25F4"/>
    <w:rsid w:val="005A39E0"/>
    <w:rsid w:val="005A4E2E"/>
    <w:rsid w:val="005A5C24"/>
    <w:rsid w:val="005A6BE9"/>
    <w:rsid w:val="005B6C57"/>
    <w:rsid w:val="005C3C60"/>
    <w:rsid w:val="005C4AB9"/>
    <w:rsid w:val="005D381C"/>
    <w:rsid w:val="005D5979"/>
    <w:rsid w:val="005E1BA4"/>
    <w:rsid w:val="005F6FFE"/>
    <w:rsid w:val="00607383"/>
    <w:rsid w:val="00610CF6"/>
    <w:rsid w:val="00611C4C"/>
    <w:rsid w:val="00616837"/>
    <w:rsid w:val="0062394F"/>
    <w:rsid w:val="006343A0"/>
    <w:rsid w:val="006444B8"/>
    <w:rsid w:val="006450DF"/>
    <w:rsid w:val="0065615D"/>
    <w:rsid w:val="00656366"/>
    <w:rsid w:val="00666931"/>
    <w:rsid w:val="0066775C"/>
    <w:rsid w:val="00681183"/>
    <w:rsid w:val="006930D4"/>
    <w:rsid w:val="006B47F5"/>
    <w:rsid w:val="006B66E4"/>
    <w:rsid w:val="006C0513"/>
    <w:rsid w:val="006C0868"/>
    <w:rsid w:val="006C1F4D"/>
    <w:rsid w:val="006C1F9B"/>
    <w:rsid w:val="006E7194"/>
    <w:rsid w:val="00704D6A"/>
    <w:rsid w:val="007157FB"/>
    <w:rsid w:val="0071750A"/>
    <w:rsid w:val="0072655C"/>
    <w:rsid w:val="00727EE2"/>
    <w:rsid w:val="00732569"/>
    <w:rsid w:val="00743C02"/>
    <w:rsid w:val="007525CD"/>
    <w:rsid w:val="00767FFD"/>
    <w:rsid w:val="0077180E"/>
    <w:rsid w:val="00774A68"/>
    <w:rsid w:val="0078265C"/>
    <w:rsid w:val="00791723"/>
    <w:rsid w:val="007A4DB8"/>
    <w:rsid w:val="007D0960"/>
    <w:rsid w:val="007D450C"/>
    <w:rsid w:val="007D5CD9"/>
    <w:rsid w:val="007E0DD5"/>
    <w:rsid w:val="007F0E9F"/>
    <w:rsid w:val="007F2365"/>
    <w:rsid w:val="00800F98"/>
    <w:rsid w:val="008049B6"/>
    <w:rsid w:val="00804F59"/>
    <w:rsid w:val="00810223"/>
    <w:rsid w:val="0082428C"/>
    <w:rsid w:val="00832C84"/>
    <w:rsid w:val="00832D25"/>
    <w:rsid w:val="00840346"/>
    <w:rsid w:val="00841FEC"/>
    <w:rsid w:val="0085384B"/>
    <w:rsid w:val="00854BB9"/>
    <w:rsid w:val="008608C3"/>
    <w:rsid w:val="008708C8"/>
    <w:rsid w:val="00875561"/>
    <w:rsid w:val="008867B1"/>
    <w:rsid w:val="008A3408"/>
    <w:rsid w:val="008A50EB"/>
    <w:rsid w:val="008B3D10"/>
    <w:rsid w:val="008C3778"/>
    <w:rsid w:val="008C5766"/>
    <w:rsid w:val="008D64CD"/>
    <w:rsid w:val="008E1E31"/>
    <w:rsid w:val="008E2BE8"/>
    <w:rsid w:val="00931085"/>
    <w:rsid w:val="009312F0"/>
    <w:rsid w:val="00932502"/>
    <w:rsid w:val="00943AF0"/>
    <w:rsid w:val="00944B54"/>
    <w:rsid w:val="0095017D"/>
    <w:rsid w:val="0096085C"/>
    <w:rsid w:val="00966599"/>
    <w:rsid w:val="0098710C"/>
    <w:rsid w:val="00987507"/>
    <w:rsid w:val="00990E28"/>
    <w:rsid w:val="0099415C"/>
    <w:rsid w:val="009A308B"/>
    <w:rsid w:val="009B4732"/>
    <w:rsid w:val="009B4A3A"/>
    <w:rsid w:val="009B61C8"/>
    <w:rsid w:val="009D51D3"/>
    <w:rsid w:val="009D66B2"/>
    <w:rsid w:val="009E3379"/>
    <w:rsid w:val="009F0B25"/>
    <w:rsid w:val="009F5EF5"/>
    <w:rsid w:val="00A06417"/>
    <w:rsid w:val="00A13693"/>
    <w:rsid w:val="00A23833"/>
    <w:rsid w:val="00A36EC0"/>
    <w:rsid w:val="00A710DB"/>
    <w:rsid w:val="00A73321"/>
    <w:rsid w:val="00A755B6"/>
    <w:rsid w:val="00A80E52"/>
    <w:rsid w:val="00A86CB6"/>
    <w:rsid w:val="00AB25AB"/>
    <w:rsid w:val="00AB420C"/>
    <w:rsid w:val="00AD6A37"/>
    <w:rsid w:val="00AE17A6"/>
    <w:rsid w:val="00AE3D86"/>
    <w:rsid w:val="00AF250A"/>
    <w:rsid w:val="00AF30EA"/>
    <w:rsid w:val="00AF5B4F"/>
    <w:rsid w:val="00B03B35"/>
    <w:rsid w:val="00B06E60"/>
    <w:rsid w:val="00B11E42"/>
    <w:rsid w:val="00B15555"/>
    <w:rsid w:val="00B22DFA"/>
    <w:rsid w:val="00B25467"/>
    <w:rsid w:val="00B36564"/>
    <w:rsid w:val="00B4025A"/>
    <w:rsid w:val="00B56AFD"/>
    <w:rsid w:val="00B657BA"/>
    <w:rsid w:val="00B85D22"/>
    <w:rsid w:val="00B96B34"/>
    <w:rsid w:val="00BB4225"/>
    <w:rsid w:val="00BC1328"/>
    <w:rsid w:val="00BC6035"/>
    <w:rsid w:val="00BD151F"/>
    <w:rsid w:val="00BD62E8"/>
    <w:rsid w:val="00BE5BC1"/>
    <w:rsid w:val="00C05F79"/>
    <w:rsid w:val="00C07658"/>
    <w:rsid w:val="00C2363A"/>
    <w:rsid w:val="00C4426C"/>
    <w:rsid w:val="00C518D0"/>
    <w:rsid w:val="00C542C5"/>
    <w:rsid w:val="00C56F3B"/>
    <w:rsid w:val="00C64167"/>
    <w:rsid w:val="00C70E22"/>
    <w:rsid w:val="00C768B4"/>
    <w:rsid w:val="00C90C10"/>
    <w:rsid w:val="00C93F21"/>
    <w:rsid w:val="00CC02D5"/>
    <w:rsid w:val="00CD5F75"/>
    <w:rsid w:val="00CE15BE"/>
    <w:rsid w:val="00CE555C"/>
    <w:rsid w:val="00CF3F03"/>
    <w:rsid w:val="00D029BD"/>
    <w:rsid w:val="00D10FFF"/>
    <w:rsid w:val="00D26493"/>
    <w:rsid w:val="00D3447B"/>
    <w:rsid w:val="00D52F76"/>
    <w:rsid w:val="00D56812"/>
    <w:rsid w:val="00D56B23"/>
    <w:rsid w:val="00D60C07"/>
    <w:rsid w:val="00D70A6E"/>
    <w:rsid w:val="00D720F9"/>
    <w:rsid w:val="00D778CE"/>
    <w:rsid w:val="00D81232"/>
    <w:rsid w:val="00D962BE"/>
    <w:rsid w:val="00DB0B40"/>
    <w:rsid w:val="00DB1BE1"/>
    <w:rsid w:val="00DC095D"/>
    <w:rsid w:val="00DC2DEE"/>
    <w:rsid w:val="00DD1259"/>
    <w:rsid w:val="00DE4EDB"/>
    <w:rsid w:val="00DF020E"/>
    <w:rsid w:val="00DF5B03"/>
    <w:rsid w:val="00E074CF"/>
    <w:rsid w:val="00E138F7"/>
    <w:rsid w:val="00E20C3E"/>
    <w:rsid w:val="00E24BFB"/>
    <w:rsid w:val="00E4338B"/>
    <w:rsid w:val="00E535A8"/>
    <w:rsid w:val="00E5527F"/>
    <w:rsid w:val="00E7410A"/>
    <w:rsid w:val="00E75FAC"/>
    <w:rsid w:val="00E8077D"/>
    <w:rsid w:val="00E978A8"/>
    <w:rsid w:val="00EA36A5"/>
    <w:rsid w:val="00EC24D6"/>
    <w:rsid w:val="00EC6DAC"/>
    <w:rsid w:val="00ED002E"/>
    <w:rsid w:val="00ED0F54"/>
    <w:rsid w:val="00ED5907"/>
    <w:rsid w:val="00EE42D0"/>
    <w:rsid w:val="00EE488E"/>
    <w:rsid w:val="00EE61A1"/>
    <w:rsid w:val="00EF5FAB"/>
    <w:rsid w:val="00EF60EA"/>
    <w:rsid w:val="00EF6D19"/>
    <w:rsid w:val="00EF6E77"/>
    <w:rsid w:val="00F1245B"/>
    <w:rsid w:val="00F2243D"/>
    <w:rsid w:val="00F4268B"/>
    <w:rsid w:val="00F42892"/>
    <w:rsid w:val="00F442DC"/>
    <w:rsid w:val="00F56B5F"/>
    <w:rsid w:val="00F8277D"/>
    <w:rsid w:val="00F92BDF"/>
    <w:rsid w:val="00FA08FA"/>
    <w:rsid w:val="00FC1B94"/>
    <w:rsid w:val="00FC5038"/>
    <w:rsid w:val="00FD30E2"/>
    <w:rsid w:val="00FD64D8"/>
    <w:rsid w:val="00FE7928"/>
    <w:rsid w:val="00FF1912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F91D"/>
  <w15:docId w15:val="{5AB3FC3E-8649-4FE3-A199-4C8D8C7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C14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61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1729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74AC"/>
    <w:pPr>
      <w:ind w:left="720"/>
      <w:contextualSpacing/>
    </w:pPr>
  </w:style>
  <w:style w:type="character" w:styleId="Hyperlink">
    <w:name w:val="Hyperlink"/>
    <w:uiPriority w:val="99"/>
    <w:unhideWhenUsed/>
    <w:rsid w:val="00285E5D"/>
    <w:rPr>
      <w:color w:val="0000FF"/>
      <w:u w:val="single"/>
    </w:rPr>
  </w:style>
  <w:style w:type="character" w:styleId="Hervorhebung">
    <w:name w:val="Emphasis"/>
    <w:uiPriority w:val="20"/>
    <w:qFormat/>
    <w:rsid w:val="00254C74"/>
    <w:rPr>
      <w:b/>
      <w:bCs/>
      <w:i w:val="0"/>
      <w:iCs w:val="0"/>
    </w:rPr>
  </w:style>
  <w:style w:type="character" w:customStyle="1" w:styleId="berschrift3Zchn">
    <w:name w:val="Überschrift 3 Zchn"/>
    <w:link w:val="berschrift3"/>
    <w:uiPriority w:val="9"/>
    <w:rsid w:val="0021729E"/>
    <w:rPr>
      <w:rFonts w:ascii="Cambria" w:eastAsia="SimSun" w:hAnsi="Cambria" w:cs="Times New Roman"/>
      <w:b/>
      <w:bCs/>
      <w:color w:val="4F81B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6F3B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ED5907"/>
    <w:rPr>
      <w:color w:val="800080"/>
      <w:u w:val="single"/>
    </w:rPr>
  </w:style>
  <w:style w:type="paragraph" w:styleId="berarbeitung">
    <w:name w:val="Revision"/>
    <w:hidden/>
    <w:uiPriority w:val="99"/>
    <w:semiHidden/>
    <w:rsid w:val="00364E7A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5615D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193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02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02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02D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02D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88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48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488E"/>
  </w:style>
  <w:style w:type="character" w:styleId="Funotenzeichen">
    <w:name w:val="footnote reference"/>
    <w:basedOn w:val="Absatz-Standardschriftart"/>
    <w:uiPriority w:val="99"/>
    <w:semiHidden/>
    <w:unhideWhenUsed/>
    <w:rsid w:val="00EE4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8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nk.springer.com/article/10.1007/s00103-013-1867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00103-025-04062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21/acs.analchem.7b039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00103-023-03785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00103-023-03785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34B4-92F5-4870-8703-EF2734A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Heinzow, Birger</dc:creator>
  <cp:lastModifiedBy>Apel, Petra</cp:lastModifiedBy>
  <cp:revision>10</cp:revision>
  <cp:lastPrinted>2025-10-26T22:34:00Z</cp:lastPrinted>
  <dcterms:created xsi:type="dcterms:W3CDTF">2026-04-07T10:04:00Z</dcterms:created>
  <dcterms:modified xsi:type="dcterms:W3CDTF">2026-06-22T15:42:00Z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2026-02-12T17:43:05Z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5dce3970-8c8d-401c-8665-39174982cb3e</vt:lpwstr>
  </property>
  <property fmtid="{D5CDD505-2E9C-101B-9397-08002B2CF9AE}" pid="8" name="MSIP_Label_7545839c-a198-4d87-a0d2-c07b8aa32614_ContentBits">
    <vt:lpwstr>0</vt:lpwstr>
  </property>
  <property fmtid="{D5CDD505-2E9C-101B-9397-08002B2CF9AE}" pid="9" name="MSIP_Label_7545839c-a198-4d87-a0d2-c07b8aa32614_Tag">
    <vt:lpwstr>10, 3, 0, 1</vt:lpwstr>
  </property>
</Properties>
</file>