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985"/>
        <w:gridCol w:w="1134"/>
        <w:gridCol w:w="3685"/>
      </w:tblGrid>
      <w:tr w:rsidR="004717CF" w:rsidRPr="003A70FD" w14:paraId="562388D9" w14:textId="77777777" w:rsidTr="00EA2679">
        <w:trPr>
          <w:trHeight w:val="280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18E28" w14:textId="77777777" w:rsidR="00EE42D0" w:rsidRDefault="008867B1" w:rsidP="004F2E5F">
            <w:pPr>
              <w:pStyle w:val="berschrift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70FD">
              <w:rPr>
                <w:rFonts w:ascii="Arial" w:hAnsi="Arial" w:cs="Arial"/>
                <w:color w:val="FF0000"/>
                <w:sz w:val="22"/>
                <w:szCs w:val="22"/>
              </w:rPr>
              <w:t>FACTSHEET</w:t>
            </w:r>
          </w:p>
          <w:p w14:paraId="3CD97F54" w14:textId="421A27B5" w:rsidR="009E3379" w:rsidRPr="009E3379" w:rsidRDefault="00A2722B" w:rsidP="009E33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Homosalat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D9861" w14:textId="2417EA37" w:rsidR="002577FE" w:rsidRDefault="00EE488E" w:rsidP="004F2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A70FD" w:rsidRPr="003A70FD">
              <w:rPr>
                <w:rFonts w:ascii="Arial" w:hAnsi="Arial" w:cs="Arial"/>
                <w:b/>
                <w:bCs/>
              </w:rPr>
              <w:t xml:space="preserve">Ableitung </w:t>
            </w:r>
            <w:r w:rsidR="00A2722B">
              <w:rPr>
                <w:rFonts w:ascii="Arial" w:hAnsi="Arial" w:cs="Arial"/>
                <w:b/>
                <w:bCs/>
              </w:rPr>
              <w:t>von HBM-I- und HBM-II</w:t>
            </w:r>
            <w:r>
              <w:rPr>
                <w:rFonts w:ascii="Arial" w:hAnsi="Arial" w:cs="Arial"/>
                <w:b/>
                <w:bCs/>
              </w:rPr>
              <w:t>-W</w:t>
            </w:r>
            <w:r w:rsidR="003A70FD" w:rsidRPr="003A70FD">
              <w:rPr>
                <w:rFonts w:ascii="Arial" w:hAnsi="Arial" w:cs="Arial"/>
                <w:b/>
                <w:bCs/>
              </w:rPr>
              <w:t>erte</w:t>
            </w:r>
            <w:r w:rsidR="00A2722B">
              <w:rPr>
                <w:rFonts w:ascii="Arial" w:hAnsi="Arial" w:cs="Arial"/>
                <w:b/>
                <w:bCs/>
              </w:rPr>
              <w:t>n</w:t>
            </w:r>
          </w:p>
          <w:p w14:paraId="2AAF3A0A" w14:textId="4D05DD5E" w:rsidR="005D5979" w:rsidRDefault="005D5979" w:rsidP="004F2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2E232B9" w14:textId="77777777" w:rsidR="00EE488E" w:rsidRDefault="00E5075E" w:rsidP="004F2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075E">
              <w:rPr>
                <w:rFonts w:ascii="Cambria" w:eastAsia="Arial" w:hAnsi="Cambria"/>
                <w:noProof/>
                <w:lang w:val="en-GB" w:eastAsia="en-US"/>
                <w14:ligatures w14:val="standardContextual"/>
              </w:rPr>
              <w:drawing>
                <wp:inline distT="0" distB="0" distL="0" distR="0" wp14:anchorId="06728056" wp14:editId="71B22494">
                  <wp:extent cx="2629267" cy="1295581"/>
                  <wp:effectExtent l="0" t="0" r="0" b="0"/>
                  <wp:docPr id="1469159376" name="Grafik 1469159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6915937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267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A6EB29" w14:textId="77777777" w:rsidR="00E5075E" w:rsidRDefault="00E5075E" w:rsidP="004F2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EF69E4A" w14:textId="644C5D98" w:rsidR="00E5075E" w:rsidRPr="00E5075E" w:rsidRDefault="00E5075E" w:rsidP="00E50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075E">
              <w:rPr>
                <w:rFonts w:ascii="Arial" w:hAnsi="Arial" w:cs="Arial"/>
                <w:sz w:val="16"/>
                <w:szCs w:val="16"/>
              </w:rPr>
              <w:t xml:space="preserve">Strukturformeln aller vier Homosalat-Isomere. </w:t>
            </w:r>
            <w:proofErr w:type="spellStart"/>
            <w:r w:rsidRPr="00E5075E">
              <w:rPr>
                <w:rFonts w:ascii="Arial" w:hAnsi="Arial" w:cs="Arial"/>
                <w:sz w:val="16"/>
                <w:szCs w:val="16"/>
              </w:rPr>
              <w:t>Enantiomerenpaare</w:t>
            </w:r>
            <w:proofErr w:type="spellEnd"/>
            <w:r w:rsidRPr="00E5075E">
              <w:rPr>
                <w:rFonts w:ascii="Arial" w:hAnsi="Arial" w:cs="Arial"/>
                <w:sz w:val="16"/>
                <w:szCs w:val="16"/>
              </w:rPr>
              <w:t xml:space="preserve"> werden auf der gleichen Seite der gestrichelten Linie gezeigt, </w:t>
            </w:r>
            <w:proofErr w:type="spellStart"/>
            <w:r w:rsidRPr="00E5075E">
              <w:rPr>
                <w:rFonts w:ascii="Arial" w:hAnsi="Arial" w:cs="Arial"/>
                <w:sz w:val="16"/>
                <w:szCs w:val="16"/>
              </w:rPr>
              <w:t>Diastereomere</w:t>
            </w:r>
            <w:proofErr w:type="spellEnd"/>
            <w:r w:rsidRPr="00E5075E">
              <w:rPr>
                <w:rFonts w:ascii="Arial" w:hAnsi="Arial" w:cs="Arial"/>
                <w:sz w:val="16"/>
                <w:szCs w:val="16"/>
              </w:rPr>
              <w:t xml:space="preserve"> auf unterschiedlichen Seiten. Grafik adaptiert aus Ebert et al. </w:t>
            </w:r>
            <w:r w:rsidR="003F3244">
              <w:rPr>
                <w:rFonts w:ascii="Arial" w:hAnsi="Arial" w:cs="Arial"/>
                <w:sz w:val="16"/>
                <w:szCs w:val="16"/>
              </w:rPr>
              <w:t>(</w:t>
            </w:r>
            <w:r w:rsidRPr="00E5075E">
              <w:rPr>
                <w:rFonts w:ascii="Arial" w:hAnsi="Arial" w:cs="Arial"/>
                <w:sz w:val="16"/>
                <w:szCs w:val="16"/>
              </w:rPr>
              <w:t>2022</w:t>
            </w:r>
            <w:r w:rsidR="003F3244">
              <w:rPr>
                <w:rFonts w:ascii="Arial" w:hAnsi="Arial" w:cs="Arial"/>
                <w:sz w:val="16"/>
                <w:szCs w:val="16"/>
              </w:rPr>
              <w:t>)</w:t>
            </w:r>
            <w:r w:rsidRPr="00E5075E">
              <w:rPr>
                <w:rFonts w:ascii="Arial" w:hAnsi="Arial" w:cs="Arial"/>
                <w:sz w:val="16"/>
                <w:szCs w:val="16"/>
              </w:rPr>
              <w:t xml:space="preserve"> [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5075E">
              <w:rPr>
                <w:rFonts w:ascii="Arial" w:hAnsi="Arial" w:cs="Arial"/>
                <w:sz w:val="16"/>
                <w:szCs w:val="16"/>
              </w:rPr>
              <w:t>].</w:t>
            </w:r>
          </w:p>
        </w:tc>
      </w:tr>
      <w:tr w:rsidR="00F4268B" w:rsidRPr="003A70FD" w14:paraId="65870CDD" w14:textId="77777777" w:rsidTr="00EA2679">
        <w:trPr>
          <w:trHeight w:val="280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5D25D" w14:textId="1F5248C8" w:rsidR="00F4268B" w:rsidRPr="0066775C" w:rsidRDefault="00C70E22" w:rsidP="0000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77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Substanz</w:t>
            </w:r>
            <w:r w:rsidR="00F4268B" w:rsidRPr="006677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3F1FC" w14:textId="47BBE4B1" w:rsidR="00F4268B" w:rsidRPr="0066775C" w:rsidRDefault="00E5075E" w:rsidP="00EC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75E">
              <w:rPr>
                <w:rFonts w:ascii="Arial" w:hAnsi="Arial" w:cs="Arial"/>
                <w:b/>
                <w:bCs/>
                <w:sz w:val="16"/>
                <w:szCs w:val="16"/>
              </w:rPr>
              <w:t>Homosalat</w:t>
            </w:r>
            <w:r w:rsidR="005D5979" w:rsidRPr="006677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92EBB" w:rsidRPr="003A70FD" w14:paraId="533911DB" w14:textId="77777777" w:rsidTr="00EA2679">
        <w:trPr>
          <w:trHeight w:val="280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DDEE" w14:textId="3965BF06" w:rsidR="00292EBB" w:rsidRPr="0066775C" w:rsidRDefault="00C70E22" w:rsidP="0000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77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Wertableitungsjahr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FE174" w14:textId="54001800" w:rsidR="00EE42D0" w:rsidRPr="0066775C" w:rsidRDefault="005D5979" w:rsidP="00EE4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775C"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A2722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292EBB" w:rsidRPr="003A70FD" w14:paraId="1A2B8E51" w14:textId="77777777" w:rsidTr="00EA2679">
        <w:trPr>
          <w:trHeight w:val="280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733D2" w14:textId="277E1EFE" w:rsidR="00292EBB" w:rsidRPr="0066775C" w:rsidRDefault="00C70E22" w:rsidP="0000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677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Publikation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DF1F" w14:textId="2F9AA206" w:rsidR="00292EBB" w:rsidRPr="0066775C" w:rsidRDefault="00C05F79" w:rsidP="006677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77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Bundesgesundheitsblatt - Gesundheitsforschung - Gesundheitsschutz </w:t>
            </w:r>
            <w:hyperlink r:id="rId9" w:history="1">
              <w:r w:rsidR="002154C0" w:rsidRPr="00CF5CC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https://doi.org/10.1007/s00103-026-04205-x</w:t>
              </w:r>
            </w:hyperlink>
            <w:r w:rsidR="002154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6775C" w:rsidRPr="006677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</w:t>
            </w:r>
            <w:r w:rsidR="00E5075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66775C" w:rsidRPr="006677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]</w:t>
            </w:r>
          </w:p>
        </w:tc>
      </w:tr>
      <w:tr w:rsidR="005874AC" w:rsidRPr="003A70FD" w14:paraId="2385ED99" w14:textId="77777777" w:rsidTr="00EA2679">
        <w:trPr>
          <w:trHeight w:val="25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55C98" w14:textId="77777777" w:rsidR="005874AC" w:rsidRPr="003A70FD" w:rsidRDefault="00F4268B" w:rsidP="0000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Parameter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DF2AF" w14:textId="2E2FC987" w:rsidR="005874AC" w:rsidRPr="003A70FD" w:rsidRDefault="005C3C60" w:rsidP="004B6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Wert</w:t>
            </w:r>
            <w:r w:rsidR="0048595A" w:rsidRPr="003A7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/ </w:t>
            </w:r>
            <w:r w:rsidR="00C70E22" w:rsidRPr="003A7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Deskriptor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F7A4" w14:textId="77777777" w:rsidR="005874AC" w:rsidRPr="003A70FD" w:rsidRDefault="0048595A" w:rsidP="004B6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Dimension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4722" w14:textId="2E461933" w:rsidR="005874AC" w:rsidRPr="003A70FD" w:rsidRDefault="005C3C60" w:rsidP="004B6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Kommentare</w:t>
            </w:r>
          </w:p>
        </w:tc>
      </w:tr>
      <w:tr w:rsidR="00BB3E7C" w:rsidRPr="003A70FD" w14:paraId="3817C473" w14:textId="77777777" w:rsidTr="00EA2679">
        <w:trPr>
          <w:trHeight w:val="336"/>
          <w:jc w:val="center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6E4348" w14:textId="64E69686" w:rsidR="00BB3E7C" w:rsidRPr="003A70FD" w:rsidRDefault="00BB3E7C" w:rsidP="00754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b/>
                <w:color w:val="000000"/>
                <w:sz w:val="16"/>
                <w:szCs w:val="16"/>
              </w:rPr>
              <w:t>HBM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-Werte </w:t>
            </w:r>
          </w:p>
        </w:tc>
      </w:tr>
      <w:tr w:rsidR="0071750A" w:rsidRPr="003A70FD" w14:paraId="78034735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AC1B0" w14:textId="3BB95118" w:rsidR="0071750A" w:rsidRPr="000C1203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1203">
              <w:rPr>
                <w:rFonts w:ascii="Arial" w:hAnsi="Arial" w:cs="Arial"/>
                <w:color w:val="000000"/>
                <w:sz w:val="16"/>
                <w:szCs w:val="16"/>
              </w:rPr>
              <w:t>HBM-I</w:t>
            </w:r>
            <w:r w:rsidR="0077180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C1203">
              <w:rPr>
                <w:rFonts w:ascii="Arial" w:hAnsi="Arial" w:cs="Arial"/>
                <w:color w:val="000000"/>
                <w:sz w:val="16"/>
                <w:szCs w:val="16"/>
              </w:rPr>
              <w:t>Wert (Männer/Kinder)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546F9" w14:textId="0CA9F064" w:rsidR="0071750A" w:rsidRPr="003F3244" w:rsidRDefault="00BB3E7C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BB3E7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HMS-CA5</w:t>
            </w:r>
            <w:r w:rsidR="003F3244" w:rsidRPr="003F324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: 0,16 und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br/>
            </w:r>
            <w:proofErr w:type="spellStart"/>
            <w:r w:rsidRPr="00BB3E7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tHMS</w:t>
            </w:r>
            <w:proofErr w:type="spellEnd"/>
            <w:r w:rsidRPr="00BB3E7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-CA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:</w:t>
            </w:r>
            <w:r w:rsidRPr="00BB3E7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="003F3244" w:rsidRPr="003F324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3,7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07441" w14:textId="2CB620F5" w:rsidR="0071750A" w:rsidRPr="003A70FD" w:rsidRDefault="00BB3E7C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µ</w:t>
            </w:r>
            <w:r w:rsidR="0071750A" w:rsidRPr="003A70FD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 w:rsidR="00607383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AC6C2" w14:textId="77777777" w:rsidR="0071750A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Matrix: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Urin</w:t>
            </w:r>
          </w:p>
          <w:p w14:paraId="39042B00" w14:textId="206CE682" w:rsidR="00A2722B" w:rsidRPr="003A70FD" w:rsidRDefault="0071750A" w:rsidP="00A2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Biomarker</w:t>
            </w:r>
            <w:r w:rsidR="00BB3E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B3E7C" w:rsidRPr="00BB3E7C">
              <w:rPr>
                <w:rFonts w:ascii="Arial" w:hAnsi="Arial" w:cs="Arial"/>
                <w:color w:val="000000"/>
                <w:sz w:val="16"/>
                <w:szCs w:val="16"/>
              </w:rPr>
              <w:t>HMS-CA5</w:t>
            </w:r>
            <w:r w:rsidR="00BB3E7C">
              <w:rPr>
                <w:rFonts w:ascii="Arial" w:hAnsi="Arial" w:cs="Arial"/>
                <w:color w:val="000000"/>
                <w:sz w:val="16"/>
                <w:szCs w:val="16"/>
              </w:rPr>
              <w:t xml:space="preserve"> und </w:t>
            </w:r>
            <w:proofErr w:type="spellStart"/>
            <w:r w:rsidR="00BB3E7C" w:rsidRPr="00BB3E7C"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 w:rsidR="00BB3E7C" w:rsidRPr="00BB3E7C">
              <w:rPr>
                <w:rFonts w:ascii="Arial" w:hAnsi="Arial" w:cs="Arial"/>
                <w:color w:val="000000"/>
                <w:sz w:val="16"/>
                <w:szCs w:val="16"/>
              </w:rPr>
              <w:t>-CA</w:t>
            </w:r>
          </w:p>
          <w:p w14:paraId="60D8CB7C" w14:textId="299DEE0A" w:rsidR="0071750A" w:rsidRPr="003A70FD" w:rsidRDefault="0071750A" w:rsidP="004D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750A" w:rsidRPr="003A70FD" w14:paraId="6021DFB4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19D38" w14:textId="40DA0A06" w:rsidR="0071750A" w:rsidRPr="003A70FD" w:rsidRDefault="00AD131B" w:rsidP="0071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1B">
              <w:rPr>
                <w:rFonts w:ascii="Arial" w:hAnsi="Arial" w:cs="Arial"/>
                <w:color w:val="000000"/>
                <w:sz w:val="16"/>
                <w:szCs w:val="16"/>
              </w:rPr>
              <w:t>HBM-I-Wert (Frauen)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94A2F" w14:textId="198C8AF8" w:rsidR="0071750A" w:rsidRPr="003F3244" w:rsidRDefault="00BB3E7C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BB3E7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HMS-CA5</w:t>
            </w:r>
            <w:r w:rsidR="003F3244" w:rsidRPr="003F324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: 0,14 und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br/>
            </w:r>
            <w:proofErr w:type="spellStart"/>
            <w:r w:rsidRPr="00BB3E7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tHMS</w:t>
            </w:r>
            <w:proofErr w:type="spellEnd"/>
            <w:r w:rsidRPr="00BB3E7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-CA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:</w:t>
            </w:r>
            <w:r w:rsidRPr="00BB3E7C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="003F3244" w:rsidRPr="003F324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3,2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FA292" w14:textId="4602D91A" w:rsidR="0071750A" w:rsidRPr="003A70FD" w:rsidRDefault="00BB3E7C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µ</w:t>
            </w:r>
            <w:r w:rsidR="0071750A" w:rsidRPr="003A70FD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 w:rsidR="00607383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CAF68" w14:textId="77777777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750A" w:rsidRPr="003A70FD" w14:paraId="384E7A9C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FC36D" w14:textId="56544B1B" w:rsidR="0071750A" w:rsidRPr="003A70FD" w:rsidRDefault="00AD131B" w:rsidP="0071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31B">
              <w:rPr>
                <w:rFonts w:ascii="Arial" w:hAnsi="Arial" w:cs="Arial"/>
                <w:color w:val="000000"/>
                <w:sz w:val="16"/>
                <w:szCs w:val="16"/>
              </w:rPr>
              <w:t>HBM-II-Wert (Männer/Kinder)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8FA26" w14:textId="45198F6D" w:rsidR="0071750A" w:rsidRPr="003A70FD" w:rsidRDefault="00BB3E7C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3E7C">
              <w:rPr>
                <w:rFonts w:ascii="Arial" w:hAnsi="Arial" w:cs="Arial"/>
                <w:color w:val="000000"/>
                <w:sz w:val="16"/>
                <w:szCs w:val="16"/>
              </w:rPr>
              <w:t>HMS-CA5</w:t>
            </w:r>
            <w:r w:rsidR="003F3244" w:rsidRPr="003F3244">
              <w:rPr>
                <w:rFonts w:ascii="Arial" w:hAnsi="Arial" w:cs="Arial"/>
                <w:color w:val="000000"/>
                <w:sz w:val="16"/>
                <w:szCs w:val="16"/>
              </w:rPr>
              <w:t xml:space="preserve">: 0,49  und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B3E7C"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 w:rsidRPr="00BB3E7C">
              <w:rPr>
                <w:rFonts w:ascii="Arial" w:hAnsi="Arial" w:cs="Arial"/>
                <w:color w:val="000000"/>
                <w:sz w:val="16"/>
                <w:szCs w:val="16"/>
              </w:rPr>
              <w:t>-CA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B3E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F3244" w:rsidRPr="003F3244">
              <w:rPr>
                <w:rFonts w:ascii="Arial" w:hAnsi="Arial" w:cs="Arial"/>
                <w:color w:val="000000"/>
                <w:sz w:val="16"/>
                <w:szCs w:val="16"/>
              </w:rPr>
              <w:t xml:space="preserve">11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15D91" w14:textId="645D78AF" w:rsidR="0071750A" w:rsidRPr="003A70FD" w:rsidRDefault="00BB3E7C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µ</w:t>
            </w:r>
            <w:r w:rsidR="0071750A" w:rsidRPr="003A70FD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 w:rsidR="00607383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F74BF" w14:textId="5D63A5E6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750A" w:rsidRPr="003A70FD" w14:paraId="0456CF7C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69AC6" w14:textId="29761381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HBM-I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77180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Wert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Frauen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C6DCD" w14:textId="55049409" w:rsidR="0071750A" w:rsidRPr="003F3244" w:rsidRDefault="00AD131B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AD131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HMS-CA5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:</w:t>
            </w:r>
            <w:r w:rsidRPr="00AD131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0,42 und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br/>
            </w:r>
            <w:proofErr w:type="spellStart"/>
            <w:r w:rsidRPr="00AD131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tHMS</w:t>
            </w:r>
            <w:proofErr w:type="spellEnd"/>
            <w:r w:rsidRPr="00AD131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-CA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:</w:t>
            </w:r>
            <w:r w:rsidRPr="00AD131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9,5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D4370" w14:textId="1E213BE7" w:rsidR="0071750A" w:rsidRPr="003A70FD" w:rsidRDefault="00BB3E7C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µ</w:t>
            </w:r>
            <w:r w:rsidR="0071750A" w:rsidRPr="003A70FD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 w:rsidR="00607383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10418" w14:textId="77777777" w:rsidR="0071750A" w:rsidRPr="003A70FD" w:rsidRDefault="0071750A" w:rsidP="0071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075E" w:rsidRPr="003A70FD" w14:paraId="4E1C3D6D" w14:textId="77777777" w:rsidTr="00EA2679">
        <w:trPr>
          <w:trHeight w:val="333"/>
          <w:jc w:val="center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DDDAB6" w14:textId="310767D7" w:rsidR="00E5075E" w:rsidRPr="003A70FD" w:rsidRDefault="00E5075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Allgemeine</w:t>
            </w:r>
            <w:r w:rsidRPr="003A70F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Information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en</w:t>
            </w:r>
          </w:p>
        </w:tc>
      </w:tr>
      <w:tr w:rsidR="00DC2DEE" w:rsidRPr="003A70FD" w14:paraId="65DBE445" w14:textId="77777777" w:rsidTr="00EA2679">
        <w:trPr>
          <w:trHeight w:val="333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D591D" w14:textId="19FE56F4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CAS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-Nummer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365D3" w14:textId="0DCA5F6F" w:rsidR="00DC2DEE" w:rsidRPr="003A70FD" w:rsidRDefault="00E5075E" w:rsidP="00607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075E">
              <w:rPr>
                <w:rFonts w:ascii="Arial" w:hAnsi="Arial" w:cs="Arial"/>
                <w:color w:val="000000"/>
                <w:sz w:val="16"/>
                <w:szCs w:val="16"/>
              </w:rPr>
              <w:t>118-56-9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647C3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07383" w:rsidRPr="003A70FD" w14:paraId="67AC6C40" w14:textId="77777777" w:rsidTr="00EA2679">
        <w:trPr>
          <w:trHeight w:val="35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1D9D7" w14:textId="5DBFF273" w:rsidR="00607383" w:rsidRPr="003A70FD" w:rsidRDefault="00607383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IUPAC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F0AD6" w14:textId="6E0DB848" w:rsidR="00607383" w:rsidRDefault="00E5075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075E">
              <w:rPr>
                <w:rFonts w:ascii="Arial" w:hAnsi="Arial" w:cs="Arial"/>
                <w:color w:val="000000"/>
                <w:sz w:val="16"/>
                <w:szCs w:val="16"/>
              </w:rPr>
              <w:t>3,3,5-Trimethylcyclohexyl 2-hydroxybenzoat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F85CB" w14:textId="77777777" w:rsidR="00607383" w:rsidRPr="003A70FD" w:rsidRDefault="00607383" w:rsidP="00F124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DEE" w:rsidRPr="003A70FD" w14:paraId="5233F9BE" w14:textId="77777777" w:rsidTr="00EA2679">
        <w:trPr>
          <w:trHeight w:val="333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11BD4" w14:textId="117ECA32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Molar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 Masse </w:t>
            </w:r>
            <w:r w:rsidR="00A2722B">
              <w:rPr>
                <w:rFonts w:ascii="Arial" w:hAnsi="Arial" w:cs="Arial"/>
                <w:color w:val="000000"/>
                <w:sz w:val="16"/>
                <w:szCs w:val="16"/>
              </w:rPr>
              <w:t>Homosalat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57FEA" w14:textId="5F6A1B8F" w:rsidR="00DC2DEE" w:rsidRPr="003A70FD" w:rsidRDefault="00C135D4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35D4">
              <w:rPr>
                <w:rFonts w:ascii="Arial" w:hAnsi="Arial" w:cs="Arial"/>
                <w:color w:val="000000"/>
                <w:sz w:val="16"/>
                <w:szCs w:val="16"/>
              </w:rPr>
              <w:t>262,35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C8FD11" w14:textId="4C7B48E8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proofErr w:type="spellStart"/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mol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12C79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DEE" w:rsidRPr="003A70FD" w14:paraId="347CF86F" w14:textId="77777777" w:rsidTr="00EA2679">
        <w:trPr>
          <w:trHeight w:val="333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0DB6C" w14:textId="23AD96E3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HBM-Biomarker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der Exposition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C97DC" w14:textId="3509C4C5" w:rsidR="00DC2DEE" w:rsidRPr="003A70FD" w:rsidRDefault="00C135D4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35D4">
              <w:rPr>
                <w:rFonts w:ascii="Arial" w:hAnsi="Arial" w:cs="Arial"/>
                <w:color w:val="000000"/>
                <w:sz w:val="16"/>
                <w:szCs w:val="16"/>
              </w:rPr>
              <w:t xml:space="preserve">HMS-CA5 und </w:t>
            </w:r>
            <w:proofErr w:type="spellStart"/>
            <w:r w:rsidRPr="00C135D4"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 w:rsidRPr="00C135D4">
              <w:rPr>
                <w:rFonts w:ascii="Arial" w:hAnsi="Arial" w:cs="Arial"/>
                <w:color w:val="000000"/>
                <w:sz w:val="16"/>
                <w:szCs w:val="16"/>
              </w:rPr>
              <w:t>-CA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A8FD6" w14:textId="41471520" w:rsidR="00DC2DEE" w:rsidRPr="003A70FD" w:rsidRDefault="00A73C84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Spezifische Metaboliten für </w:t>
            </w:r>
            <w:r w:rsidRPr="00A73C8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cis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-Homosalat (HMS-CA5) bzw. </w:t>
            </w:r>
            <w:r w:rsidRPr="00A73C8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trans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-Homosalat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-CA)</w:t>
            </w:r>
            <w:r w:rsidR="00EB718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9534C">
              <w:rPr>
                <w:rFonts w:ascii="Arial" w:hAnsi="Arial" w:cs="Arial"/>
                <w:color w:val="000000"/>
                <w:sz w:val="16"/>
                <w:szCs w:val="16"/>
              </w:rPr>
              <w:t>[3, 4]</w:t>
            </w:r>
          </w:p>
        </w:tc>
      </w:tr>
      <w:tr w:rsidR="00DC2DEE" w:rsidRPr="003A70FD" w14:paraId="58819BAB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37F2F" w14:textId="63DA31DF" w:rsidR="00DC2DEE" w:rsidRPr="00C135D4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proofErr w:type="spellStart"/>
            <w:r w:rsidRPr="00C135D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Molare</w:t>
            </w:r>
            <w:proofErr w:type="spellEnd"/>
            <w:r w:rsidRPr="00C135D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Masse </w:t>
            </w:r>
            <w:r w:rsidR="00C135D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br/>
            </w:r>
            <w:r w:rsidR="00C135D4" w:rsidRPr="00C135D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HMS-CA5 </w:t>
            </w:r>
            <w:proofErr w:type="spellStart"/>
            <w:r w:rsidR="00C135D4" w:rsidRPr="00C135D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bzw</w:t>
            </w:r>
            <w:proofErr w:type="spellEnd"/>
            <w:r w:rsidR="00C135D4" w:rsidRPr="00C135D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. </w:t>
            </w:r>
            <w:proofErr w:type="spellStart"/>
            <w:r w:rsidR="00C135D4" w:rsidRPr="00C135D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tHMS</w:t>
            </w:r>
            <w:proofErr w:type="spellEnd"/>
            <w:r w:rsidR="00C135D4" w:rsidRPr="00C135D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-CA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30524" w14:textId="30588932" w:rsidR="00DC2DEE" w:rsidRPr="003A70FD" w:rsidRDefault="00C135D4" w:rsidP="00C13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                   </w:t>
            </w:r>
            <w:r w:rsidRPr="00C135D4">
              <w:rPr>
                <w:rFonts w:ascii="Arial" w:hAnsi="Arial" w:cs="Arial"/>
                <w:color w:val="000000"/>
                <w:sz w:val="16"/>
                <w:szCs w:val="16"/>
              </w:rPr>
              <w:t xml:space="preserve">292,33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91277" w14:textId="26055AF9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proofErr w:type="spellStart"/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mol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637A5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38B0" w:rsidRPr="003A70FD" w14:paraId="59136D76" w14:textId="77777777" w:rsidTr="00EA2679">
        <w:trPr>
          <w:trHeight w:val="336"/>
          <w:jc w:val="center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9FEB51" w14:textId="49647E21" w:rsidR="000238B0" w:rsidRPr="003A70FD" w:rsidRDefault="000238B0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enbasis Toxi</w:t>
            </w:r>
            <w:r w:rsidR="005436CA">
              <w:rPr>
                <w:rFonts w:ascii="Arial" w:hAnsi="Arial" w:cs="Arial"/>
                <w:b/>
                <w:color w:val="000000"/>
                <w:sz w:val="16"/>
                <w:szCs w:val="16"/>
              </w:rPr>
              <w:t>kologie</w:t>
            </w:r>
          </w:p>
        </w:tc>
      </w:tr>
      <w:tr w:rsidR="00DC2DEE" w:rsidRPr="003A70FD" w14:paraId="3815CF9C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A70FF" w14:textId="6436D0A2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Schlüsselstudie</w:t>
            </w:r>
            <w:r w:rsidRPr="003A70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/ 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utor</w:t>
            </w:r>
            <w:r w:rsidRPr="003A70FD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en</w:t>
            </w:r>
            <w:r w:rsidRPr="003A70FD">
              <w:rPr>
                <w:rFonts w:ascii="Arial" w:hAnsi="Arial" w:cs="Arial"/>
                <w:color w:val="000000" w:themeColor="text1"/>
                <w:sz w:val="16"/>
                <w:szCs w:val="16"/>
              </w:rPr>
              <w:t>) (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Jahr</w:t>
            </w:r>
            <w:r w:rsidRPr="003A70F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D9D68" w14:textId="113C6E5A" w:rsidR="00DC2DEE" w:rsidRPr="003A70FD" w:rsidRDefault="00D91038" w:rsidP="00FF6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038">
              <w:rPr>
                <w:rFonts w:ascii="Arial" w:hAnsi="Arial" w:cs="Arial"/>
                <w:color w:val="000000"/>
                <w:sz w:val="16"/>
                <w:szCs w:val="16"/>
              </w:rPr>
              <w:t xml:space="preserve">Nach OECD-Richtlinie 422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[5]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C9684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CAF17" w14:textId="7C7D3936" w:rsidR="00DC2DEE" w:rsidRPr="003A70FD" w:rsidRDefault="00CD3FBA" w:rsidP="00D9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Ist ebenfalls </w:t>
            </w:r>
            <w:r w:rsidR="007469C2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chlüsselstudie der Bewertung des SCCS [6]</w:t>
            </w:r>
          </w:p>
        </w:tc>
      </w:tr>
      <w:tr w:rsidR="00DC2DEE" w:rsidRPr="003A70FD" w14:paraId="6C69F1C0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A6DBD" w14:textId="07C55B8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 w:themeColor="text1"/>
                <w:sz w:val="16"/>
                <w:szCs w:val="16"/>
              </w:rPr>
              <w:t>Spe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</w:t>
            </w:r>
            <w:r w:rsidRPr="003A70FD">
              <w:rPr>
                <w:rFonts w:ascii="Arial" w:hAnsi="Arial" w:cs="Arial"/>
                <w:color w:val="000000" w:themeColor="text1"/>
                <w:sz w:val="16"/>
                <w:szCs w:val="16"/>
              </w:rPr>
              <w:t>ies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0ABDF" w14:textId="50973FC8" w:rsidR="00DC2DEE" w:rsidRPr="003A70FD" w:rsidRDefault="00FF6D42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Wistar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C2DEE">
              <w:rPr>
                <w:rFonts w:ascii="Arial" w:hAnsi="Arial" w:cs="Arial"/>
                <w:color w:val="000000"/>
                <w:sz w:val="16"/>
                <w:szCs w:val="16"/>
              </w:rPr>
              <w:t>Ratten</w:t>
            </w:r>
            <w:r w:rsidRPr="00FF6D42">
              <w:rPr>
                <w:rFonts w:ascii="Arial" w:hAnsi="Arial" w:cs="Arial"/>
                <w:color w:val="000000"/>
                <w:sz w:val="16"/>
                <w:szCs w:val="16"/>
              </w:rPr>
              <w:t xml:space="preserve"> (je 10 weibliche und 10 männliche Tiere pro Dosis)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E7D67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DA7C5" w14:textId="0FC7A0EC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DEE" w:rsidRPr="003A70FD" w14:paraId="0BA08809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C5401" w14:textId="45F044CA" w:rsidR="00DC2DEE" w:rsidRPr="003A70FD" w:rsidRDefault="0062394F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Applikations</w:t>
            </w:r>
            <w:r w:rsidR="00DC2DEE" w:rsidRPr="00B85D22">
              <w:rPr>
                <w:rFonts w:ascii="Arial" w:hAnsi="Arial" w:cs="Arial"/>
                <w:color w:val="000000" w:themeColor="text1"/>
                <w:sz w:val="16"/>
                <w:szCs w:val="16"/>
              </w:rPr>
              <w:t>we</w:t>
            </w:r>
            <w:r w:rsidR="008A36C7">
              <w:rPr>
                <w:rFonts w:ascii="Arial" w:hAnsi="Arial" w:cs="Arial"/>
                <w:color w:val="000000" w:themeColor="text1"/>
                <w:sz w:val="16"/>
                <w:szCs w:val="16"/>
              </w:rPr>
              <w:t>ise</w:t>
            </w:r>
            <w:r w:rsidR="00DC2DEE" w:rsidRPr="00B85D22">
              <w:rPr>
                <w:rFonts w:ascii="Arial" w:hAnsi="Arial" w:cs="Arial"/>
                <w:color w:val="000000" w:themeColor="text1"/>
                <w:sz w:val="16"/>
                <w:szCs w:val="16"/>
              </w:rPr>
              <w:t>/Studienart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87CCC" w14:textId="6A9B7512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91038" w:rsidRPr="00D91038">
              <w:rPr>
                <w:rFonts w:ascii="Arial" w:hAnsi="Arial" w:cs="Arial"/>
                <w:color w:val="000000"/>
                <w:sz w:val="16"/>
                <w:szCs w:val="16"/>
              </w:rPr>
              <w:t xml:space="preserve">über eine </w:t>
            </w:r>
            <w:proofErr w:type="spellStart"/>
            <w:r w:rsidR="00D91038" w:rsidRPr="00D91038">
              <w:rPr>
                <w:rFonts w:ascii="Arial" w:hAnsi="Arial" w:cs="Arial"/>
                <w:color w:val="000000"/>
                <w:sz w:val="16"/>
                <w:szCs w:val="16"/>
              </w:rPr>
              <w:t>Schlundsonde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84718" w14:textId="657FEF5F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4B47" w14:textId="7968DD9E" w:rsidR="00DC2DEE" w:rsidRPr="003A70FD" w:rsidRDefault="00D91038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038">
              <w:rPr>
                <w:rFonts w:ascii="Arial" w:hAnsi="Arial" w:cs="Arial"/>
                <w:color w:val="000000"/>
                <w:sz w:val="16"/>
                <w:szCs w:val="16"/>
              </w:rPr>
              <w:t xml:space="preserve">0, 60, 120, 300 oder 750 mg/(kg </w:t>
            </w:r>
            <w:proofErr w:type="spellStart"/>
            <w:r w:rsidRPr="00D9103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D9103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9103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D91038">
              <w:rPr>
                <w:rFonts w:ascii="Arial" w:hAnsi="Arial" w:cs="Arial"/>
                <w:color w:val="000000"/>
                <w:sz w:val="16"/>
                <w:szCs w:val="16"/>
              </w:rPr>
              <w:t xml:space="preserve"> d) Homosalat (Reinheit 99,8%, gelöst in </w:t>
            </w:r>
            <w:proofErr w:type="spellStart"/>
            <w:r w:rsidRPr="00D91038">
              <w:rPr>
                <w:rFonts w:ascii="Arial" w:hAnsi="Arial" w:cs="Arial"/>
                <w:color w:val="000000"/>
                <w:sz w:val="16"/>
                <w:szCs w:val="16"/>
              </w:rPr>
              <w:t>Maisöl</w:t>
            </w:r>
            <w:proofErr w:type="spellEnd"/>
            <w:r w:rsidRPr="00D91038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</w:p>
        </w:tc>
      </w:tr>
      <w:tr w:rsidR="00DC2DEE" w:rsidRPr="003A70FD" w14:paraId="75931710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C27A2" w14:textId="1F18BBA2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Expositionsdauer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974C0" w14:textId="74F6EC42" w:rsidR="00DC2DEE" w:rsidRPr="003A70FD" w:rsidRDefault="00D91038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038">
              <w:rPr>
                <w:rFonts w:ascii="Arial" w:hAnsi="Arial" w:cs="Arial"/>
                <w:color w:val="000000"/>
                <w:sz w:val="16"/>
                <w:szCs w:val="16"/>
              </w:rPr>
              <w:t xml:space="preserve"> 7 Wochen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0D02D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F33CE" w14:textId="23599556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C2DEE" w:rsidRPr="003A70FD" w14:paraId="45854CE0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E8A79E" w14:textId="586ABEF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Kritischer Endpunkt / Effekt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313F7" w14:textId="04DD6734" w:rsidR="00DC2DEE" w:rsidRPr="003A70FD" w:rsidRDefault="0079534C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7705A0" w:rsidRPr="007705A0">
              <w:rPr>
                <w:rFonts w:ascii="Arial" w:hAnsi="Arial" w:cs="Arial"/>
                <w:color w:val="000000"/>
                <w:sz w:val="16"/>
                <w:szCs w:val="16"/>
              </w:rPr>
              <w:t xml:space="preserve">rhöhte absolute und relative Nierengewichte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1D414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1EBF0" w14:textId="2E23FB3C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2DEE" w:rsidRPr="003A70FD" w14:paraId="567B2E77" w14:textId="77777777" w:rsidTr="00EB7183">
        <w:trPr>
          <w:trHeight w:val="453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2FC6D" w14:textId="7EAF90D6" w:rsidR="00F1245B" w:rsidRPr="003A70FD" w:rsidRDefault="0079534C" w:rsidP="00EB7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34C">
              <w:rPr>
                <w:rFonts w:ascii="Arial" w:hAnsi="Arial" w:cs="Arial"/>
                <w:color w:val="000000" w:themeColor="text1"/>
                <w:sz w:val="16"/>
                <w:szCs w:val="16"/>
              </w:rPr>
              <w:t>LOAEL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AAD47" w14:textId="515A72A8" w:rsidR="00DC2DEE" w:rsidRPr="003A70FD" w:rsidRDefault="00EB7183" w:rsidP="00EB7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</w:t>
            </w:r>
            <w:r w:rsidR="0079534C" w:rsidRPr="0079534C">
              <w:rPr>
                <w:rFonts w:ascii="Arial" w:hAnsi="Arial" w:cs="Arial"/>
                <w:color w:val="000000"/>
                <w:sz w:val="16"/>
                <w:szCs w:val="16"/>
              </w:rPr>
              <w:t xml:space="preserve">60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641CE" w14:textId="1E1E9020" w:rsidR="00DC2DEE" w:rsidRPr="003A70FD" w:rsidRDefault="00EB7183" w:rsidP="00EB7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DC2DEE"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mg/kg </w:t>
            </w:r>
            <w:r w:rsidR="00290164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r w:rsidR="00DC2DEE" w:rsidRPr="003A70FD">
              <w:rPr>
                <w:rFonts w:ascii="Arial" w:hAnsi="Arial" w:cs="Arial"/>
                <w:color w:val="000000"/>
                <w:sz w:val="16"/>
                <w:szCs w:val="16"/>
              </w:rPr>
              <w:t>/d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73A7A" w14:textId="158BCD3B" w:rsidR="00F1245B" w:rsidRPr="003A70FD" w:rsidRDefault="000D02EA" w:rsidP="000D02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2E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="00777CDE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</w:t>
            </w:r>
            <w:r w:rsidR="00777CDE" w:rsidRPr="00777CDE">
              <w:rPr>
                <w:rFonts w:ascii="Arial" w:hAnsi="Arial" w:cs="Arial"/>
                <w:color w:val="000000"/>
                <w:sz w:val="16"/>
                <w:szCs w:val="16"/>
              </w:rPr>
              <w:t>= POD</w:t>
            </w:r>
            <w:r w:rsidRPr="000D02E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</w:p>
        </w:tc>
      </w:tr>
      <w:tr w:rsidR="00510598" w:rsidRPr="003A70FD" w14:paraId="6BC82E2F" w14:textId="77777777" w:rsidTr="00EA2679">
        <w:trPr>
          <w:trHeight w:val="445"/>
          <w:jc w:val="center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6F4912" w14:textId="2BE59D92" w:rsidR="00510598" w:rsidRPr="000C1203" w:rsidRDefault="00510598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       </w:t>
            </w:r>
            <w:r w:rsidRPr="0051059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Bewertungsfaktoren und externe Dosis zur Ableitung von HBM-Werten</w:t>
            </w:r>
          </w:p>
          <w:p w14:paraId="67817090" w14:textId="057D1BC4" w:rsidR="00510598" w:rsidRPr="00BA255C" w:rsidRDefault="00510598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(I</w:t>
            </w:r>
            <w:r w:rsidRPr="00BA255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 Anlehnung an die Risikobewertung des SCCS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[6])</w:t>
            </w:r>
          </w:p>
        </w:tc>
      </w:tr>
      <w:tr w:rsidR="00DC2DEE" w:rsidRPr="003A70FD" w14:paraId="357C7458" w14:textId="77777777" w:rsidTr="00EB7183">
        <w:trPr>
          <w:trHeight w:val="509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613A0" w14:textId="1F536CAB" w:rsidR="00DC2DEE" w:rsidRPr="003A70FD" w:rsidRDefault="00BA255C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Extrapolation vom LOAEL zum NAEL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BB8B8" w14:textId="5E7C9823" w:rsidR="00DC2DEE" w:rsidRPr="003A70FD" w:rsidRDefault="00BA255C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A2B49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B4B17" w14:textId="6D4CD3E8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255C" w:rsidRPr="003A70FD" w14:paraId="2716A5F6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3B84A" w14:textId="6802B5CE" w:rsidR="00BA255C" w:rsidRDefault="00BA255C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255C">
              <w:rPr>
                <w:rFonts w:ascii="Arial" w:hAnsi="Arial" w:cs="Arial"/>
                <w:color w:val="000000"/>
                <w:sz w:val="16"/>
                <w:szCs w:val="16"/>
              </w:rPr>
              <w:t xml:space="preserve">Zeitextrapolation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1ADBF" w14:textId="6796AAB1" w:rsidR="00BA255C" w:rsidRDefault="00BA255C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36170" w14:textId="77777777" w:rsidR="00BA255C" w:rsidRPr="003A70FD" w:rsidRDefault="00BA255C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DD2A4" w14:textId="6D9ED1A5" w:rsidR="00BA255C" w:rsidRPr="003A70FD" w:rsidRDefault="00BA255C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BA255C">
              <w:rPr>
                <w:rFonts w:ascii="Arial" w:hAnsi="Arial" w:cs="Arial"/>
                <w:color w:val="000000"/>
                <w:sz w:val="16"/>
                <w:szCs w:val="16"/>
              </w:rPr>
              <w:t xml:space="preserve">ubchronisch auf chronisch </w:t>
            </w:r>
            <w:r w:rsidR="007469C2">
              <w:rPr>
                <w:rFonts w:ascii="Arial" w:hAnsi="Arial" w:cs="Arial"/>
                <w:color w:val="000000"/>
                <w:sz w:val="16"/>
                <w:szCs w:val="16"/>
              </w:rPr>
              <w:t>[7]</w:t>
            </w:r>
          </w:p>
        </w:tc>
      </w:tr>
      <w:tr w:rsidR="00DC2DEE" w:rsidRPr="003A70FD" w14:paraId="7AE50008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0BAA1" w14:textId="2008B1F0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D37">
              <w:rPr>
                <w:rFonts w:ascii="Arial" w:hAnsi="Arial" w:cs="Arial"/>
                <w:color w:val="000000"/>
                <w:sz w:val="16"/>
                <w:szCs w:val="16"/>
              </w:rPr>
              <w:t>Inte</w:t>
            </w:r>
            <w:r w:rsidR="00290164">
              <w:rPr>
                <w:rFonts w:ascii="Arial" w:hAnsi="Arial" w:cs="Arial"/>
                <w:color w:val="000000"/>
                <w:sz w:val="16"/>
                <w:szCs w:val="16"/>
              </w:rPr>
              <w:t>rspezies</w:t>
            </w:r>
            <w:r w:rsidRPr="00340D37">
              <w:rPr>
                <w:rFonts w:ascii="Arial" w:hAnsi="Arial" w:cs="Arial"/>
                <w:color w:val="000000"/>
                <w:sz w:val="16"/>
                <w:szCs w:val="16"/>
              </w:rPr>
              <w:t xml:space="preserve"> Faktor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48150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1B734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7DF0E7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F8B70" w14:textId="52C05BC5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D37">
              <w:rPr>
                <w:rFonts w:ascii="Arial" w:hAnsi="Arial" w:cs="Arial"/>
                <w:color w:val="000000"/>
                <w:sz w:val="16"/>
                <w:szCs w:val="16"/>
              </w:rPr>
              <w:t>Allometrisch</w:t>
            </w:r>
          </w:p>
        </w:tc>
      </w:tr>
      <w:tr w:rsidR="00DC2DEE" w:rsidRPr="003A70FD" w14:paraId="0D82DF50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F2386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2B15C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ADC8D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C0E06" w14:textId="70B0363A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Dynami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sch</w:t>
            </w:r>
          </w:p>
        </w:tc>
      </w:tr>
      <w:tr w:rsidR="00DC2DEE" w:rsidRPr="003A70FD" w14:paraId="6528B4F0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DBF86" w14:textId="2C9AA4BE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Intra</w:t>
            </w:r>
            <w:r w:rsidR="00290164">
              <w:rPr>
                <w:rFonts w:ascii="Arial" w:hAnsi="Arial" w:cs="Arial"/>
                <w:color w:val="000000"/>
                <w:sz w:val="16"/>
                <w:szCs w:val="16"/>
              </w:rPr>
              <w:t>spezies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Faktor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9721D" w14:textId="4D49BF4C" w:rsidR="00DC2DEE" w:rsidRPr="003A70FD" w:rsidRDefault="00CD3FBA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B94E1" w14:textId="77777777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3D756" w14:textId="70D5134A" w:rsidR="00DC2DEE" w:rsidRPr="003A70FD" w:rsidRDefault="00DC2DEE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38B0" w:rsidRPr="003A70FD" w14:paraId="4E9F560C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24D89" w14:textId="0C0691D7" w:rsidR="000238B0" w:rsidRDefault="00510598" w:rsidP="00DC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Gesamtbewertungsfaktor</w:t>
            </w:r>
            <w:r w:rsidR="000238B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82A0D">
              <w:rPr>
                <w:rFonts w:ascii="Arial" w:hAnsi="Arial" w:cs="Arial"/>
                <w:color w:val="000000"/>
                <w:sz w:val="16"/>
                <w:szCs w:val="16"/>
              </w:rPr>
              <w:t xml:space="preserve">(TAF) </w:t>
            </w:r>
            <w:r w:rsidR="000238B0">
              <w:rPr>
                <w:rFonts w:ascii="Arial" w:hAnsi="Arial" w:cs="Arial"/>
                <w:color w:val="000000"/>
                <w:sz w:val="16"/>
                <w:szCs w:val="16"/>
              </w:rPr>
              <w:t>für HBM-I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544F4" w14:textId="2A874EE1" w:rsidR="000238B0" w:rsidRDefault="00497767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7767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329B8" w14:textId="77777777" w:rsidR="000238B0" w:rsidRPr="003A70FD" w:rsidRDefault="000238B0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452F6" w14:textId="77777777" w:rsidR="000238B0" w:rsidRPr="003A70FD" w:rsidRDefault="000238B0" w:rsidP="00DC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2A0D" w:rsidRPr="003A70FD" w14:paraId="690C5741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0714D" w14:textId="120A1E35" w:rsidR="00182A0D" w:rsidRPr="00182A0D" w:rsidRDefault="00182A0D" w:rsidP="0018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907E9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POD/TAF</w:t>
            </w:r>
            <w:r w:rsidRPr="00907E98"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f</w:t>
            </w:r>
            <w:r w:rsidRPr="00907E9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ür HBM-I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75025" w14:textId="29359A8B" w:rsidR="00182A0D" w:rsidRPr="00497767" w:rsidRDefault="00182A0D" w:rsidP="0018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3FBA">
              <w:rPr>
                <w:rFonts w:ascii="Arial" w:hAnsi="Arial" w:cs="Arial"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A659F" w14:textId="08767E52" w:rsidR="00182A0D" w:rsidRPr="003A70FD" w:rsidRDefault="00182A0D" w:rsidP="0018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98">
              <w:rPr>
                <w:rFonts w:ascii="Arial" w:hAnsi="Arial" w:cs="Arial"/>
                <w:color w:val="000000"/>
                <w:sz w:val="16"/>
                <w:szCs w:val="16"/>
              </w:rPr>
              <w:t xml:space="preserve">µg/(kg </w:t>
            </w:r>
            <w:proofErr w:type="spellStart"/>
            <w:r w:rsidRPr="00907E9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907E98">
              <w:rPr>
                <w:rFonts w:ascii="Arial" w:hAnsi="Arial" w:cs="Arial"/>
                <w:color w:val="000000"/>
                <w:sz w:val="16"/>
                <w:szCs w:val="16"/>
              </w:rPr>
              <w:t xml:space="preserve"> · d)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957DB" w14:textId="44D8CFA1" w:rsidR="00182A0D" w:rsidRPr="003A70FD" w:rsidRDefault="00182A0D" w:rsidP="0018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Homosalat</w:t>
            </w:r>
          </w:p>
        </w:tc>
      </w:tr>
      <w:tr w:rsidR="00182A0D" w:rsidRPr="003A70FD" w14:paraId="24C659DB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D9F3E" w14:textId="47CE34FA" w:rsidR="00182A0D" w:rsidRPr="00907E98" w:rsidRDefault="00182A0D" w:rsidP="0018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87AF8">
              <w:rPr>
                <w:rFonts w:ascii="Arial" w:hAnsi="Arial" w:cs="Arial"/>
                <w:color w:val="000000"/>
                <w:sz w:val="16"/>
                <w:szCs w:val="16"/>
              </w:rPr>
              <w:t xml:space="preserve">Externe tolerable Dosis </w:t>
            </w:r>
            <w:r w:rsidR="00793B4C">
              <w:rPr>
                <w:rFonts w:ascii="Arial" w:hAnsi="Arial" w:cs="Arial"/>
                <w:color w:val="000000"/>
                <w:sz w:val="16"/>
                <w:szCs w:val="16"/>
              </w:rPr>
              <w:t xml:space="preserve">(ETD) </w:t>
            </w:r>
            <w:r w:rsidRPr="00187AF8">
              <w:rPr>
                <w:rFonts w:ascii="Arial" w:hAnsi="Arial" w:cs="Arial"/>
                <w:color w:val="000000"/>
                <w:sz w:val="16"/>
                <w:szCs w:val="16"/>
              </w:rPr>
              <w:t>der Ste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reoisomere </w:t>
            </w:r>
            <w:r w:rsidRPr="00187AF8">
              <w:rPr>
                <w:rFonts w:ascii="Arial" w:hAnsi="Arial" w:cs="Arial"/>
                <w:color w:val="000000"/>
                <w:sz w:val="16"/>
                <w:szCs w:val="16"/>
              </w:rPr>
              <w:t>für HBM-I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896FB" w14:textId="77777777" w:rsidR="00182A0D" w:rsidRDefault="00182A0D" w:rsidP="0018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cis-</w:t>
            </w:r>
            <w:proofErr w:type="spellStart"/>
            <w:r w:rsidRPr="00B41C0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Homosalat</w:t>
            </w:r>
            <w:proofErr w:type="spellEnd"/>
            <w:r w:rsidRPr="00B41C0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:</w:t>
            </w:r>
          </w:p>
          <w:p w14:paraId="30A4B03A" w14:textId="2DB9BA93" w:rsidR="00B85D54" w:rsidRPr="006055C9" w:rsidRDefault="00B85D54" w:rsidP="0018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100 µg</w:t>
            </w:r>
            <w:proofErr w:type="gramStart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/(</w:t>
            </w:r>
            <w:proofErr w:type="gramEnd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kg </w:t>
            </w:r>
            <w:proofErr w:type="spellStart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KG</w:t>
            </w:r>
            <w:proofErr w:type="spellEnd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· d) · 0,9 = 90 µg/(kg </w:t>
            </w:r>
            <w:proofErr w:type="spellStart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KG</w:t>
            </w:r>
            <w:proofErr w:type="spellEnd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· d)</w:t>
            </w:r>
          </w:p>
          <w:p w14:paraId="03562E5B" w14:textId="77777777" w:rsidR="00182A0D" w:rsidRPr="006055C9" w:rsidRDefault="00182A0D" w:rsidP="00B85D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79E92561" w14:textId="0E0952A8" w:rsidR="00B85D54" w:rsidRDefault="00182A0D" w:rsidP="00B85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trans-</w:t>
            </w:r>
            <w:proofErr w:type="spellStart"/>
            <w:r w:rsidRPr="00B41C0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Homosalat</w:t>
            </w:r>
            <w:proofErr w:type="spellEnd"/>
            <w:r w:rsidR="00B85D5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:</w:t>
            </w:r>
          </w:p>
          <w:p w14:paraId="4682EDCE" w14:textId="549A2262" w:rsidR="00B85D54" w:rsidRPr="006055C9" w:rsidRDefault="00B85D54" w:rsidP="0018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55C9">
              <w:rPr>
                <w:rFonts w:ascii="Arial" w:hAnsi="Arial" w:cs="Arial"/>
                <w:color w:val="000000"/>
                <w:sz w:val="16"/>
                <w:szCs w:val="16"/>
              </w:rPr>
              <w:t xml:space="preserve">100 µg/(kg </w:t>
            </w:r>
            <w:proofErr w:type="spellStart"/>
            <w:r w:rsidRPr="006055C9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6055C9">
              <w:rPr>
                <w:rFonts w:ascii="Arial" w:hAnsi="Arial" w:cs="Arial"/>
                <w:color w:val="000000"/>
                <w:sz w:val="16"/>
                <w:szCs w:val="16"/>
              </w:rPr>
              <w:t xml:space="preserve"> · d) · 0,1 = 10 µg/(kg </w:t>
            </w:r>
            <w:proofErr w:type="spellStart"/>
            <w:r w:rsidRPr="006055C9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6055C9">
              <w:rPr>
                <w:rFonts w:ascii="Arial" w:hAnsi="Arial" w:cs="Arial"/>
                <w:color w:val="000000"/>
                <w:sz w:val="16"/>
                <w:szCs w:val="16"/>
              </w:rPr>
              <w:t xml:space="preserve"> · 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9E156" w14:textId="49161BFC" w:rsidR="00182A0D" w:rsidRPr="00907E98" w:rsidRDefault="00182A0D" w:rsidP="0018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3EF">
              <w:rPr>
                <w:rFonts w:ascii="Arial" w:hAnsi="Arial" w:cs="Arial"/>
                <w:color w:val="000000"/>
                <w:sz w:val="16"/>
                <w:szCs w:val="16"/>
              </w:rPr>
              <w:t xml:space="preserve">µg/(kg </w:t>
            </w:r>
            <w:proofErr w:type="spellStart"/>
            <w:r w:rsidRPr="007D13E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7D13E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13EF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7D13EF">
              <w:rPr>
                <w:rFonts w:ascii="Arial" w:hAnsi="Arial" w:cs="Arial"/>
                <w:color w:val="000000"/>
                <w:sz w:val="16"/>
                <w:szCs w:val="16"/>
              </w:rPr>
              <w:t xml:space="preserve"> d)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6707D" w14:textId="703C66FD" w:rsidR="00182A0D" w:rsidRDefault="00182A0D" w:rsidP="0018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Die Faktoren 0,9 und 0,1 spiegeln das Verhältnis von cis- zu trans-Homosalat in technischem Homosalat </w:t>
            </w:r>
            <w:proofErr w:type="gramStart"/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wider</w:t>
            </w:r>
            <w:proofErr w:type="gramEnd"/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(ca. 90:10)</w:t>
            </w:r>
          </w:p>
        </w:tc>
      </w:tr>
      <w:tr w:rsidR="00182A0D" w:rsidRPr="003A70FD" w14:paraId="29E0FC3D" w14:textId="77777777" w:rsidTr="00793B4C">
        <w:trPr>
          <w:trHeight w:val="505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C5192B" w14:textId="0644D2DF" w:rsidR="00182A0D" w:rsidRPr="003A70FD" w:rsidRDefault="00182A0D" w:rsidP="00182A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Gesamtbewertungsfaktor für HBM-II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3859F" w14:textId="17F7CD6B" w:rsidR="00182A0D" w:rsidRPr="003A70FD" w:rsidRDefault="00182A0D" w:rsidP="0018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A2078" w14:textId="77777777" w:rsidR="00182A0D" w:rsidRPr="003A70FD" w:rsidRDefault="00182A0D" w:rsidP="0018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C713C" w14:textId="77777777" w:rsidR="00182A0D" w:rsidRPr="003A70FD" w:rsidRDefault="00182A0D" w:rsidP="00182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F0BED" w:rsidRPr="003A70FD" w14:paraId="06BA6254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45AB4" w14:textId="0FDC66AA" w:rsidR="009F0BE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7AF8">
              <w:rPr>
                <w:rFonts w:ascii="Arial" w:hAnsi="Arial" w:cs="Arial"/>
                <w:color w:val="000000"/>
                <w:sz w:val="16"/>
                <w:szCs w:val="16"/>
              </w:rPr>
              <w:t>POD/TAF</w:t>
            </w:r>
            <w:r w:rsidRPr="00187AF8">
              <w:t xml:space="preserve"> </w:t>
            </w:r>
            <w:r w:rsidRPr="00187AF8">
              <w:rPr>
                <w:rFonts w:ascii="Arial" w:hAnsi="Arial" w:cs="Arial"/>
                <w:color w:val="000000"/>
                <w:sz w:val="16"/>
                <w:szCs w:val="16"/>
              </w:rPr>
              <w:t>für HBM-II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8695C" w14:textId="155B4D4B" w:rsidR="009F0BE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EAA37" w14:textId="6AB0FF4D" w:rsidR="009F0BED" w:rsidRPr="003A70F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E9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µg</w:t>
            </w:r>
            <w:proofErr w:type="gramStart"/>
            <w:r w:rsidRPr="00907E9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/(</w:t>
            </w:r>
            <w:proofErr w:type="gramEnd"/>
            <w:r w:rsidRPr="00907E9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kg </w:t>
            </w:r>
            <w:proofErr w:type="spellStart"/>
            <w:r w:rsidRPr="00907E9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KG</w:t>
            </w:r>
            <w:proofErr w:type="spellEnd"/>
            <w:r w:rsidRPr="00907E9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· d)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4D7E0" w14:textId="233F0AA3" w:rsidR="009F0BED" w:rsidRPr="003A70F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Homosalat</w:t>
            </w:r>
            <w:proofErr w:type="spellEnd"/>
          </w:p>
        </w:tc>
      </w:tr>
      <w:tr w:rsidR="009F0BED" w:rsidRPr="003A70FD" w14:paraId="2507C3ED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62B1" w14:textId="6AA92790" w:rsidR="009F0BED" w:rsidRPr="00187AF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3EF">
              <w:rPr>
                <w:rFonts w:ascii="Arial" w:hAnsi="Arial" w:cs="Arial"/>
                <w:color w:val="000000"/>
                <w:sz w:val="16"/>
                <w:szCs w:val="16"/>
              </w:rPr>
              <w:t xml:space="preserve">Externe Dosis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der Stereoisomere </w:t>
            </w:r>
            <w:r w:rsidRPr="007D13EF">
              <w:rPr>
                <w:rFonts w:ascii="Arial" w:hAnsi="Arial" w:cs="Arial"/>
                <w:color w:val="000000"/>
                <w:sz w:val="16"/>
                <w:szCs w:val="16"/>
              </w:rPr>
              <w:t>für HBM-II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FAB6E" w14:textId="77777777" w:rsidR="009F0BE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151E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cis-</w:t>
            </w:r>
            <w:proofErr w:type="spellStart"/>
            <w:r w:rsidRPr="00D151E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Homosalat</w:t>
            </w:r>
            <w:proofErr w:type="spellEnd"/>
            <w:r w:rsidRPr="00D151E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:</w:t>
            </w:r>
          </w:p>
          <w:p w14:paraId="150135F8" w14:textId="1808A841" w:rsidR="009F0BED" w:rsidRPr="006055C9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300 µg</w:t>
            </w:r>
            <w:proofErr w:type="gramStart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/(</w:t>
            </w:r>
            <w:proofErr w:type="gramEnd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kg </w:t>
            </w:r>
            <w:proofErr w:type="spellStart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KG</w:t>
            </w:r>
            <w:proofErr w:type="spellEnd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· d) · 0,9 =</w:t>
            </w:r>
          </w:p>
          <w:p w14:paraId="73E48219" w14:textId="3F355AE5" w:rsidR="009F0BED" w:rsidRPr="006055C9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270 µg</w:t>
            </w:r>
            <w:proofErr w:type="gramStart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/(</w:t>
            </w:r>
            <w:proofErr w:type="gramEnd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kg </w:t>
            </w:r>
            <w:proofErr w:type="spellStart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KG</w:t>
            </w:r>
            <w:proofErr w:type="spellEnd"/>
            <w:r w:rsidRPr="006055C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· d)</w:t>
            </w:r>
          </w:p>
          <w:p w14:paraId="0998E295" w14:textId="77777777" w:rsidR="009F0BED" w:rsidRPr="006055C9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  <w:p w14:paraId="49392281" w14:textId="5C8D28B2" w:rsidR="009F0BED" w:rsidRPr="00D151EA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151E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trans-</w:t>
            </w:r>
            <w:proofErr w:type="spellStart"/>
            <w:r w:rsidRPr="00D151E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Homosalat</w:t>
            </w:r>
            <w:proofErr w:type="spellEnd"/>
            <w:r w:rsidR="00F42344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:</w:t>
            </w:r>
          </w:p>
          <w:p w14:paraId="58B2F65C" w14:textId="05ACE4E3" w:rsidR="009F0BED" w:rsidRPr="006055C9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55C9">
              <w:rPr>
                <w:rFonts w:ascii="Arial" w:hAnsi="Arial" w:cs="Arial"/>
                <w:color w:val="000000"/>
                <w:sz w:val="16"/>
                <w:szCs w:val="16"/>
              </w:rPr>
              <w:t xml:space="preserve">300 µg/(kg </w:t>
            </w:r>
            <w:proofErr w:type="spellStart"/>
            <w:r w:rsidRPr="006055C9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6055C9">
              <w:rPr>
                <w:rFonts w:ascii="Arial" w:hAnsi="Arial" w:cs="Arial"/>
                <w:color w:val="000000"/>
                <w:sz w:val="16"/>
                <w:szCs w:val="16"/>
              </w:rPr>
              <w:t xml:space="preserve"> · d) · 0,1 = 30 µg/(kg </w:t>
            </w:r>
            <w:proofErr w:type="spellStart"/>
            <w:r w:rsidRPr="006055C9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6055C9">
              <w:rPr>
                <w:rFonts w:ascii="Arial" w:hAnsi="Arial" w:cs="Arial"/>
                <w:color w:val="000000"/>
                <w:sz w:val="16"/>
                <w:szCs w:val="16"/>
              </w:rPr>
              <w:t xml:space="preserve"> · d)</w:t>
            </w:r>
          </w:p>
          <w:p w14:paraId="21CFEA7B" w14:textId="0D62DC25" w:rsidR="009F0BED" w:rsidRPr="006055C9" w:rsidRDefault="009F0BED" w:rsidP="00F423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55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343C8" w14:textId="66381288" w:rsidR="009F0BED" w:rsidRPr="00907E9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7D13EF">
              <w:rPr>
                <w:rFonts w:ascii="Arial" w:hAnsi="Arial" w:cs="Arial"/>
                <w:color w:val="000000"/>
                <w:sz w:val="16"/>
                <w:szCs w:val="16"/>
              </w:rPr>
              <w:t xml:space="preserve">µg/(kg </w:t>
            </w:r>
            <w:proofErr w:type="spellStart"/>
            <w:r w:rsidRPr="007D13E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7D13E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13EF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7D13EF">
              <w:rPr>
                <w:rFonts w:ascii="Arial" w:hAnsi="Arial" w:cs="Arial"/>
                <w:color w:val="000000"/>
                <w:sz w:val="16"/>
                <w:szCs w:val="16"/>
              </w:rPr>
              <w:t xml:space="preserve"> d</w:t>
            </w:r>
            <w:r w:rsidR="00F42344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C13FE" w14:textId="1BC501C2" w:rsidR="009F0BED" w:rsidRPr="009F0BED" w:rsidRDefault="00E90483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Die </w:t>
            </w:r>
            <w:r w:rsidR="009F0BED" w:rsidRPr="007D13EF">
              <w:rPr>
                <w:rFonts w:ascii="Arial" w:hAnsi="Arial" w:cs="Arial"/>
                <w:color w:val="000000"/>
                <w:sz w:val="16"/>
                <w:szCs w:val="16"/>
              </w:rPr>
              <w:t xml:space="preserve">Faktoren 0,9 und 0,1 spiegeln das Verhältnis von cis- zu trans-Homosalat in technischem Homosalat </w:t>
            </w:r>
            <w:proofErr w:type="gramStart"/>
            <w:r w:rsidR="009F0BED" w:rsidRPr="007D13EF">
              <w:rPr>
                <w:rFonts w:ascii="Arial" w:hAnsi="Arial" w:cs="Arial"/>
                <w:color w:val="000000"/>
                <w:sz w:val="16"/>
                <w:szCs w:val="16"/>
              </w:rPr>
              <w:t>wider</w:t>
            </w:r>
            <w:proofErr w:type="gramEnd"/>
            <w:r w:rsidR="009F0BED" w:rsidRPr="007D13EF">
              <w:rPr>
                <w:rFonts w:ascii="Arial" w:hAnsi="Arial" w:cs="Arial"/>
                <w:color w:val="000000"/>
                <w:sz w:val="16"/>
                <w:szCs w:val="16"/>
              </w:rPr>
              <w:t xml:space="preserve"> (ca. 90:10)</w:t>
            </w:r>
          </w:p>
        </w:tc>
      </w:tr>
      <w:tr w:rsidR="009F0BED" w:rsidRPr="003A70FD" w14:paraId="11FCEECD" w14:textId="77777777" w:rsidTr="00EA2679">
        <w:trPr>
          <w:trHeight w:val="336"/>
          <w:jc w:val="center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ADF782" w14:textId="7630E598" w:rsidR="009F0BED" w:rsidRPr="003A70F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t xml:space="preserve"> </w:t>
            </w:r>
            <w:r w:rsidRPr="00510598">
              <w:rPr>
                <w:rFonts w:ascii="Arial" w:hAnsi="Arial" w:cs="Arial"/>
                <w:b/>
                <w:color w:val="000000"/>
                <w:sz w:val="16"/>
                <w:szCs w:val="16"/>
              </w:rPr>
              <w:t>Parameter zur Berechnung der HBM-Werte mittels Massenbilanz-Ansatz</w:t>
            </w:r>
          </w:p>
        </w:tc>
      </w:tr>
      <w:tr w:rsidR="009F0BED" w:rsidRPr="003A70FD" w14:paraId="07A24649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E745" w14:textId="0EE4DBFB" w:rsidR="009F0BED" w:rsidRPr="003A70F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>Fue</w:t>
            </w:r>
            <w:r w:rsidRPr="009D7C38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(48 h)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41C3C" w14:textId="77777777" w:rsidR="009F0BED" w:rsidRPr="009D7C3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7C38">
              <w:rPr>
                <w:rFonts w:ascii="Arial" w:hAnsi="Arial" w:cs="Arial"/>
                <w:color w:val="000000"/>
                <w:sz w:val="16"/>
                <w:szCs w:val="16"/>
              </w:rPr>
              <w:t>HMS-CA5: 0,0097%</w:t>
            </w:r>
          </w:p>
          <w:p w14:paraId="59F20FC4" w14:textId="1ADBD615" w:rsidR="009F0BED" w:rsidRPr="003A70F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D7C38"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 w:rsidRPr="009D7C38">
              <w:rPr>
                <w:rFonts w:ascii="Arial" w:hAnsi="Arial" w:cs="Arial"/>
                <w:color w:val="000000"/>
                <w:sz w:val="16"/>
                <w:szCs w:val="16"/>
              </w:rPr>
              <w:t>-CA: 1,0%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3B9E8" w14:textId="77777777" w:rsidR="009F0BED" w:rsidRPr="003A70F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FBBBE" w14:textId="5E722E5C" w:rsidR="009F0BED" w:rsidRPr="003A70F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286">
              <w:rPr>
                <w:rFonts w:ascii="Arial" w:hAnsi="Arial" w:cs="Arial"/>
                <w:color w:val="000000"/>
                <w:sz w:val="16"/>
                <w:szCs w:val="16"/>
              </w:rPr>
              <w:t>Prozentualer Anteil der Wirkstoffdosis, die im Urin als spezifischer Metabolit ausgeschieden wurde, molare Basis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[1]</w:t>
            </w:r>
          </w:p>
        </w:tc>
      </w:tr>
      <w:tr w:rsidR="009F0BED" w:rsidRPr="00BE5BC1" w14:paraId="0ADFB1C4" w14:textId="77777777" w:rsidTr="00793B4C">
        <w:trPr>
          <w:trHeight w:val="494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2ABD3" w14:textId="1D1E9D4F" w:rsidR="009F0BED" w:rsidRPr="00BE5BC1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7C38">
              <w:rPr>
                <w:rFonts w:ascii="Arial" w:hAnsi="Arial" w:cs="Arial"/>
                <w:color w:val="000000"/>
                <w:sz w:val="16"/>
                <w:szCs w:val="16"/>
              </w:rPr>
              <w:t>Unterschied zwischen dermalem und oralem Pfad (F</w:t>
            </w:r>
            <w:r w:rsidRPr="009D7C38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D/O</w:t>
            </w:r>
            <w:r w:rsidRPr="009D7C38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471AC" w14:textId="77777777" w:rsidR="009F0BED" w:rsidRPr="009D7C3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7C38">
              <w:rPr>
                <w:rFonts w:ascii="Arial" w:hAnsi="Arial" w:cs="Arial"/>
                <w:color w:val="000000"/>
                <w:sz w:val="16"/>
                <w:szCs w:val="16"/>
              </w:rPr>
              <w:t>HMS-CA5: 0,5</w:t>
            </w:r>
          </w:p>
          <w:p w14:paraId="7486861B" w14:textId="0289C754" w:rsidR="009F0BED" w:rsidRPr="00BE5BC1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D7C38">
              <w:rPr>
                <w:rFonts w:ascii="Arial" w:hAnsi="Arial" w:cs="Arial" w:hint="eastAsia"/>
                <w:color w:val="000000"/>
                <w:sz w:val="16"/>
                <w:szCs w:val="16"/>
              </w:rPr>
              <w:t>tHMS</w:t>
            </w:r>
            <w:proofErr w:type="spellEnd"/>
            <w:r w:rsidRPr="009D7C38">
              <w:rPr>
                <w:rFonts w:ascii="Arial" w:hAnsi="Arial" w:cs="Arial" w:hint="eastAsia"/>
                <w:color w:val="000000"/>
                <w:sz w:val="16"/>
                <w:szCs w:val="16"/>
              </w:rPr>
              <w:t>-CA: entfällt (</w:t>
            </w:r>
            <w:r w:rsidRPr="009D7C38">
              <w:rPr>
                <w:rFonts w:ascii="Arial" w:hAnsi="Arial" w:cs="Arial" w:hint="eastAsia"/>
                <w:color w:val="000000"/>
                <w:sz w:val="16"/>
                <w:szCs w:val="16"/>
              </w:rPr>
              <w:t>≈</w:t>
            </w:r>
            <w:r w:rsidRPr="009D7C38">
              <w:rPr>
                <w:rFonts w:ascii="Arial" w:hAnsi="Arial" w:cs="Arial" w:hint="eastAsia"/>
                <w:color w:val="000000"/>
                <w:sz w:val="16"/>
                <w:szCs w:val="16"/>
              </w:rPr>
              <w:t>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3AC72" w14:textId="77777777" w:rsidR="009F0BED" w:rsidRPr="00BE5BC1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8E52" w14:textId="169DE4F4" w:rsidR="009F0BE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[8]</w:t>
            </w:r>
          </w:p>
        </w:tc>
      </w:tr>
      <w:tr w:rsidR="009F0BED" w:rsidRPr="00BE5BC1" w14:paraId="1553A7E3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4E599" w14:textId="414B99A3" w:rsidR="009F0BED" w:rsidRPr="00BE5BC1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C1">
              <w:rPr>
                <w:rFonts w:ascii="Arial" w:hAnsi="Arial" w:cs="Arial"/>
                <w:color w:val="000000"/>
                <w:sz w:val="16"/>
                <w:szCs w:val="16"/>
              </w:rPr>
              <w:t>Verhältnis der molaren Masse 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BE5BC1">
              <w:rPr>
                <w:rFonts w:ascii="Arial" w:hAnsi="Arial" w:cs="Arial"/>
                <w:color w:val="000000"/>
                <w:sz w:val="16"/>
                <w:szCs w:val="16"/>
              </w:rPr>
              <w:t xml:space="preserve"> Metaboliten zur molaren Masse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Homosalat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232B" w14:textId="240454A5" w:rsidR="009F0BED" w:rsidRPr="009D7C3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9D7C3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HMS-CA5/HMS: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Pr="009D7C3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1,11</w:t>
            </w:r>
          </w:p>
          <w:p w14:paraId="4448E77D" w14:textId="0ADF56B3" w:rsidR="009F0BED" w:rsidRPr="00B41C0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proofErr w:type="spellStart"/>
            <w:r w:rsidRPr="009D7C3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tHMS</w:t>
            </w:r>
            <w:proofErr w:type="spellEnd"/>
            <w:r w:rsidRPr="009D7C3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-CA/HMS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: 1,11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57622" w14:textId="77777777" w:rsidR="009F0BED" w:rsidRPr="00B41C0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5548" w14:textId="1AA6023F" w:rsidR="009F0BE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292,33/262,35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=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1,11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CF1DA61" w14:textId="353E283C" w:rsidR="009F0BED" w:rsidRPr="00BE5BC1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292,33/262,35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=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1,11</w:t>
            </w:r>
          </w:p>
        </w:tc>
      </w:tr>
      <w:tr w:rsidR="009F0BED" w:rsidRPr="003A70FD" w14:paraId="1CD75926" w14:textId="77777777" w:rsidTr="00EB7183">
        <w:trPr>
          <w:trHeight w:val="507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B9D4" w14:textId="5230585C" w:rsidR="009F0BED" w:rsidRPr="0051059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0598">
              <w:rPr>
                <w:rFonts w:ascii="Arial" w:hAnsi="Arial" w:cs="Arial"/>
                <w:color w:val="000000"/>
                <w:sz w:val="16"/>
                <w:szCs w:val="16"/>
              </w:rPr>
              <w:t xml:space="preserve">Urinvolumen pro kg </w:t>
            </w:r>
            <w:proofErr w:type="spellStart"/>
            <w:r w:rsidRPr="0051059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510598">
              <w:rPr>
                <w:rFonts w:ascii="Arial" w:hAnsi="Arial" w:cs="Arial"/>
                <w:color w:val="000000"/>
                <w:sz w:val="16"/>
                <w:szCs w:val="16"/>
              </w:rPr>
              <w:t xml:space="preserve"> und Tag</w:t>
            </w:r>
            <w:r w:rsidR="001647F9">
              <w:rPr>
                <w:rFonts w:ascii="Arial" w:hAnsi="Arial" w:cs="Arial"/>
                <w:color w:val="000000"/>
                <w:sz w:val="16"/>
                <w:szCs w:val="16"/>
              </w:rPr>
              <w:t xml:space="preserve"> [</w:t>
            </w:r>
            <w:proofErr w:type="spellStart"/>
            <w:r w:rsidR="001647F9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="001647F9" w:rsidRPr="001647F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Urin</w:t>
            </w:r>
            <w:proofErr w:type="spellEnd"/>
            <w:r w:rsidR="001647F9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68422" w14:textId="2E6DE10D" w:rsidR="009F0BE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Männer/Kinder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 0,030</w:t>
            </w:r>
          </w:p>
          <w:p w14:paraId="2FFBF234" w14:textId="0D07F448" w:rsidR="009F0BED" w:rsidRPr="003A70F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Frauen: 0,035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75DA" w14:textId="33CEA157" w:rsidR="009F0BED" w:rsidRPr="003A70F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/ (kg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3A70FD">
              <w:rPr>
                <w:rFonts w:ascii="Arial" w:hAnsi="Arial" w:cs="Arial"/>
                <w:color w:val="000000"/>
                <w:sz w:val="16"/>
                <w:szCs w:val="16"/>
              </w:rPr>
              <w:t xml:space="preserve"> · d)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1188B" w14:textId="3B784975" w:rsidR="009F0BED" w:rsidRPr="003A70F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Standardwerte [9]</w:t>
            </w:r>
          </w:p>
        </w:tc>
      </w:tr>
      <w:tr w:rsidR="009F0BED" w:rsidRPr="003A70FD" w14:paraId="5E12DB16" w14:textId="77777777" w:rsidTr="00793B4C">
        <w:trPr>
          <w:trHeight w:val="588"/>
          <w:jc w:val="center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61E120" w14:textId="0826CF1B" w:rsidR="009F0BED" w:rsidRPr="003A70F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                 </w:t>
            </w:r>
            <w:r w:rsidRPr="006E6325">
              <w:rPr>
                <w:rFonts w:ascii="Arial" w:hAnsi="Arial" w:cs="Arial"/>
                <w:b/>
                <w:color w:val="000000"/>
                <w:sz w:val="16"/>
                <w:szCs w:val="16"/>
              </w:rPr>
              <w:t>Kalkulation der HBM-Werte entsprechend Massenbilanz-Ansatz</w:t>
            </w:r>
          </w:p>
          <w:p w14:paraId="4D8763F7" w14:textId="1247288D" w:rsidR="009F0BED" w:rsidRPr="003A70F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 w:rsidRPr="006E61A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Grundsatzpapier der Kommission Human-Biomonitoring [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 w:rsidRPr="006E61A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]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9F0BED" w:rsidRPr="0071750A" w14:paraId="765E534D" w14:textId="77777777" w:rsidTr="00EA2679">
        <w:trPr>
          <w:trHeight w:val="1113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E41430" w14:textId="6374CC00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Berechnung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sformel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7271E" w14:textId="267D6876" w:rsidR="009F0BED" w:rsidRPr="0072655C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46DC8" w14:textId="32F50BE2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4813B" w14:textId="3E0EC607" w:rsidR="009F0BED" w:rsidRPr="0071750A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29783B">
              <w:rPr>
                <w:rFonts w:ascii="Arial" w:hAnsi="Arial" w:cs="Arial"/>
                <w:noProof/>
                <w:color w:val="000000"/>
                <w:sz w:val="16"/>
                <w:szCs w:val="16"/>
                <w:lang w:val="en-GB"/>
              </w:rPr>
              <w:drawing>
                <wp:inline distT="0" distB="0" distL="0" distR="0" wp14:anchorId="1C87CB45" wp14:editId="27382940">
                  <wp:extent cx="2219325" cy="57848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315" cy="658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BED" w:rsidRPr="00854BB9" w14:paraId="6A7B2282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B34F4" w14:textId="25C94D77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HBM-I-Wert</w:t>
            </w:r>
          </w:p>
          <w:p w14:paraId="5E3C7EB8" w14:textId="5D5B4CFB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(Männer/Kinder)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91980A" w14:textId="3212056A" w:rsidR="009F0BED" w:rsidRPr="00B41C08" w:rsidRDefault="009F0BED" w:rsidP="00EA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(HMS-CA5): 0,16</w:t>
            </w:r>
            <w:r w:rsidR="005436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µg/L</w:t>
            </w:r>
          </w:p>
          <w:p w14:paraId="62829FDB" w14:textId="77777777" w:rsidR="009F0BED" w:rsidRPr="00B41C0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83B87E0" w14:textId="77777777" w:rsidR="009F0BED" w:rsidRPr="00B41C0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  <w:p w14:paraId="2ED864C2" w14:textId="77777777" w:rsidR="009F0BED" w:rsidRPr="00B41C0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1D64AE2" w14:textId="1C22A0C6" w:rsidR="009F0BED" w:rsidRPr="0072655C" w:rsidRDefault="009F0BED" w:rsidP="00EA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-CA): 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3,7 µg/L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3AB7A" w14:textId="506647A7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µ</w:t>
            </w: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E664D" w14:textId="0C0F2868" w:rsidR="005436CA" w:rsidRPr="00B41C08" w:rsidRDefault="00EF7C32" w:rsidP="00EF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</w:t>
            </w:r>
            <w:r w:rsidR="005436CA" w:rsidRPr="00B41C08">
              <w:rPr>
                <w:rFonts w:ascii="Arial" w:hAnsi="Arial" w:cs="Arial"/>
                <w:color w:val="000000"/>
                <w:sz w:val="16"/>
                <w:szCs w:val="16"/>
              </w:rPr>
              <w:t>(HMS-CA5):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90 µg/(kg </w:t>
            </w:r>
            <w:proofErr w:type="spellStart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d)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1,11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0,0097%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0,5/ 0,030 L/(kg </w:t>
            </w:r>
            <w:proofErr w:type="spellStart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d) = 0,16 µg/L</w:t>
            </w:r>
          </w:p>
          <w:p w14:paraId="1229B31B" w14:textId="77777777" w:rsidR="005436CA" w:rsidRPr="00B41C08" w:rsidRDefault="005436CA" w:rsidP="00543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FE2C917" w14:textId="644B5932" w:rsidR="00EA2679" w:rsidRDefault="00EF7C32" w:rsidP="00EA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</w:t>
            </w:r>
            <w:r w:rsidR="005436CA" w:rsidRPr="00B41C08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="005436CA" w:rsidRPr="00B41C08"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 w:rsidR="005436CA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-CA): </w:t>
            </w:r>
          </w:p>
          <w:p w14:paraId="64C8DABD" w14:textId="4E94DCAD" w:rsidR="005436CA" w:rsidRPr="00B41C08" w:rsidRDefault="005436CA" w:rsidP="00EA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10 µg/(kg </w:t>
            </w:r>
            <w:proofErr w:type="spellStart"/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d) </w:t>
            </w:r>
            <w:r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1,11 </w:t>
            </w:r>
            <w:r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1,0%/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L/(kg </w:t>
            </w:r>
            <w:proofErr w:type="spellStart"/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d)</w:t>
            </w:r>
          </w:p>
          <w:p w14:paraId="18D625F7" w14:textId="087C6CE4" w:rsidR="009F0BED" w:rsidRPr="00854BB9" w:rsidRDefault="005436CA" w:rsidP="00543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= 3,7 µg/L</w:t>
            </w:r>
            <w:r w:rsidR="009F0BED" w:rsidRPr="00B11E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9F0BED" w:rsidRPr="00854BB9" w14:paraId="5C1281B5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A0FE5" w14:textId="77777777" w:rsidR="009F0BED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EC1009" w14:textId="36AD82D5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HBM-I-Wert</w:t>
            </w:r>
          </w:p>
          <w:p w14:paraId="49D87134" w14:textId="752FF3D2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(Frauen)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B7225" w14:textId="3B42110B" w:rsidR="009F0BED" w:rsidRPr="00B41C08" w:rsidRDefault="00E90483" w:rsidP="00EA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(HMS-CA5): 0,14 µg/L </w:t>
            </w:r>
          </w:p>
          <w:p w14:paraId="39CB70E5" w14:textId="77777777" w:rsidR="009F0BED" w:rsidRPr="00B41C0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CB6C9A6" w14:textId="77777777" w:rsidR="009F0BED" w:rsidRPr="00B41C0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  <w:p w14:paraId="1B62B196" w14:textId="77777777" w:rsidR="009F0BED" w:rsidRPr="00B41C08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F7BADD6" w14:textId="7D3C31C9" w:rsidR="009F0BED" w:rsidRPr="0072655C" w:rsidRDefault="009F0BED" w:rsidP="00EA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-CA): </w:t>
            </w:r>
            <w:r w:rsidRPr="00B41C0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3,2 µg/L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8AB55" w14:textId="4082F8CD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µ</w:t>
            </w: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B9554" w14:textId="5160D33E" w:rsidR="00EA2679" w:rsidRPr="00B41C08" w:rsidRDefault="00EF7C32" w:rsidP="00EA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(HMS-CA5): </w:t>
            </w:r>
            <w:r w:rsidR="00EA267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90 µg/(kg </w:t>
            </w:r>
            <w:proofErr w:type="spellStart"/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d) </w:t>
            </w:r>
            <w:r w:rsidR="00EA2679"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1,11 </w:t>
            </w:r>
            <w:r w:rsidR="00EA2679"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0,0097% </w:t>
            </w:r>
            <w:r w:rsidR="00EA2679"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0,5/</w:t>
            </w:r>
            <w:r w:rsid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0,035 L/(kg </w:t>
            </w:r>
            <w:proofErr w:type="spellStart"/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d)</w:t>
            </w:r>
            <w:r w:rsid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= 0,14 µg/L </w:t>
            </w:r>
          </w:p>
          <w:p w14:paraId="63246908" w14:textId="77777777" w:rsidR="00EA2679" w:rsidRPr="00B41C08" w:rsidRDefault="00EA2679" w:rsidP="00EF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6DE3EDD" w14:textId="4AD49135" w:rsidR="00EA2679" w:rsidRPr="00B41C08" w:rsidRDefault="00EF7C32" w:rsidP="00EA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-CA): </w:t>
            </w:r>
            <w:r w:rsidR="00EA267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10 µg/(kg </w:t>
            </w:r>
            <w:proofErr w:type="spellStart"/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d) </w:t>
            </w:r>
            <w:r w:rsidR="00EA2679"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1,11 </w:t>
            </w:r>
            <w:r w:rsidR="00EA2679"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1,0%/</w:t>
            </w:r>
            <w:r w:rsid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0,035 L/(kg </w:t>
            </w:r>
            <w:proofErr w:type="spellStart"/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B41C08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B41C08">
              <w:rPr>
                <w:rFonts w:ascii="Arial" w:hAnsi="Arial" w:cs="Arial"/>
                <w:color w:val="000000"/>
                <w:sz w:val="16"/>
                <w:szCs w:val="16"/>
              </w:rPr>
              <w:t xml:space="preserve"> d)</w:t>
            </w:r>
          </w:p>
          <w:p w14:paraId="2B61A563" w14:textId="171E476E" w:rsidR="009F0BED" w:rsidRPr="00854BB9" w:rsidRDefault="00EA2679" w:rsidP="00EA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C0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= 3,2 µg/L</w:t>
            </w:r>
            <w:r w:rsidR="009F0BE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9F0BED" w:rsidRPr="00854BB9" w14:paraId="457DDC5D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4CC35" w14:textId="3980EC7D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HBM-I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-Wert</w:t>
            </w:r>
          </w:p>
          <w:p w14:paraId="07A0B75D" w14:textId="28BABA96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(Männer/Kinder)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97146" w14:textId="7EC2F06E" w:rsidR="009F0BED" w:rsidRPr="00D151EA" w:rsidRDefault="009F0BED" w:rsidP="00EA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 (HMS-CA5): 0,49 µg/L</w:t>
            </w:r>
          </w:p>
          <w:p w14:paraId="68CB6ADC" w14:textId="77777777" w:rsidR="009F0BED" w:rsidRPr="00D151EA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ECF715B" w14:textId="77777777" w:rsidR="009F0BED" w:rsidRPr="00D151EA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1EA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  <w:p w14:paraId="573C9E6D" w14:textId="77777777" w:rsidR="009F0BED" w:rsidRPr="00D151EA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BA72AA0" w14:textId="184CEFA9" w:rsidR="009F0BED" w:rsidRPr="0072655C" w:rsidRDefault="009F0BED" w:rsidP="00EF7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151EA"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-CA): </w:t>
            </w:r>
            <w:r w:rsidRPr="00D151E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 µg/L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B0CAD" w14:textId="33CBBE76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µ</w:t>
            </w: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59500" w14:textId="2D9C6780" w:rsidR="00EA2679" w:rsidRDefault="00EF7C32" w:rsidP="00EA267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>(HMS-CA5):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270 µg/(kg </w:t>
            </w:r>
            <w:proofErr w:type="spellStart"/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D151EA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 d) </w:t>
            </w:r>
            <w:r w:rsidR="00EA2679" w:rsidRPr="00D151EA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 1,11 </w:t>
            </w:r>
            <w:r w:rsidR="00EA2679" w:rsidRPr="00D151EA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 0,0097% </w:t>
            </w:r>
            <w:r w:rsidR="00EA2679" w:rsidRPr="00D151EA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 0,5/</w:t>
            </w:r>
            <w:r w:rsid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  <w:r w:rsidR="00EA2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 L/(kg </w:t>
            </w:r>
            <w:proofErr w:type="spellStart"/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D151EA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 d)</w:t>
            </w:r>
            <w:r w:rsid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D151EA">
              <w:rPr>
                <w:rFonts w:ascii="Arial" w:hAnsi="Arial" w:cs="Arial"/>
                <w:color w:val="000000"/>
                <w:sz w:val="16"/>
                <w:szCs w:val="16"/>
              </w:rPr>
              <w:t>= 0,49 µg/L</w:t>
            </w:r>
            <w:r w:rsidR="00EA2679">
              <w:t xml:space="preserve"> </w:t>
            </w:r>
          </w:p>
          <w:p w14:paraId="445EDAE0" w14:textId="77777777" w:rsidR="00EA2679" w:rsidRPr="00EA2679" w:rsidRDefault="00EA2679" w:rsidP="00EA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3A00868" w14:textId="01934279" w:rsidR="00EA2679" w:rsidRPr="00D151EA" w:rsidRDefault="00EF7C32" w:rsidP="00EA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</w:t>
            </w:r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-CA):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30 µg/(kg </w:t>
            </w:r>
            <w:proofErr w:type="spellStart"/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EA2679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d) </w:t>
            </w:r>
            <w:r w:rsidR="00EA2679" w:rsidRPr="00EA2679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1,11 </w:t>
            </w:r>
            <w:r w:rsidR="00EA2679" w:rsidRPr="00EA2679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1,0%/</w:t>
            </w:r>
            <w:r w:rsid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  <w:r w:rsidR="00EA267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L/(kg </w:t>
            </w:r>
            <w:proofErr w:type="spellStart"/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EA2679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d)</w:t>
            </w:r>
            <w:r w:rsidR="00EA2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A2679" w:rsidRPr="00EA2679">
              <w:rPr>
                <w:rFonts w:ascii="Arial" w:hAnsi="Arial" w:cs="Arial"/>
                <w:color w:val="000000"/>
                <w:sz w:val="16"/>
                <w:szCs w:val="16"/>
              </w:rPr>
              <w:t>= 11 µg/L</w:t>
            </w:r>
          </w:p>
          <w:p w14:paraId="03C20671" w14:textId="6D6F6435" w:rsidR="009F0BED" w:rsidRPr="00854BB9" w:rsidRDefault="009F0BED" w:rsidP="005436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F0BED" w:rsidRPr="00854BB9" w14:paraId="4966A898" w14:textId="77777777" w:rsidTr="00EA2679">
        <w:trPr>
          <w:trHeight w:val="336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64E0E" w14:textId="21FD3959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HBM-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F4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I-Wert</w:t>
            </w:r>
          </w:p>
          <w:p w14:paraId="0C103064" w14:textId="765D321B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(Frauen)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37970" w14:textId="6B99464E" w:rsidR="009F0BED" w:rsidRPr="00D151EA" w:rsidRDefault="009F0BED" w:rsidP="00EF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1EA">
              <w:rPr>
                <w:rFonts w:ascii="Arial" w:hAnsi="Arial" w:cs="Arial"/>
                <w:color w:val="000000"/>
                <w:sz w:val="16"/>
                <w:szCs w:val="16"/>
              </w:rPr>
              <w:t>(HMS-CA5): 0,42 µg/L</w:t>
            </w:r>
          </w:p>
          <w:p w14:paraId="28266A1F" w14:textId="77777777" w:rsidR="009F0BED" w:rsidRPr="00D151EA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4C1F616" w14:textId="77777777" w:rsidR="009F0BED" w:rsidRPr="00D151EA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1EA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  <w:p w14:paraId="000A8722" w14:textId="77777777" w:rsidR="009F0BED" w:rsidRPr="00D151EA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41D1F0D" w14:textId="4361065A" w:rsidR="009F0BED" w:rsidRPr="0072655C" w:rsidRDefault="009F0BED" w:rsidP="00EF7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1EA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D151EA"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 w:rsidRPr="00D151EA">
              <w:rPr>
                <w:rFonts w:ascii="Arial" w:hAnsi="Arial" w:cs="Arial"/>
                <w:color w:val="000000"/>
                <w:sz w:val="16"/>
                <w:szCs w:val="16"/>
              </w:rPr>
              <w:t xml:space="preserve">-CA): </w:t>
            </w:r>
            <w:r w:rsidRPr="00D151E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9,5 µg/L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D34CD" w14:textId="3AB3F60A" w:rsidR="009F0BED" w:rsidRPr="00B11E42" w:rsidRDefault="009F0BED" w:rsidP="009F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µ</w:t>
            </w:r>
            <w:r w:rsidRPr="00B11E42">
              <w:rPr>
                <w:rFonts w:ascii="Arial" w:hAnsi="Arial" w:cs="Arial"/>
                <w:color w:val="000000"/>
                <w:sz w:val="16"/>
                <w:szCs w:val="16"/>
              </w:rPr>
              <w:t>g/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441D4" w14:textId="36CF8B45" w:rsidR="00EF7C32" w:rsidRPr="00EF7C32" w:rsidRDefault="00EF7C32" w:rsidP="00EF7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(HMS-CA5):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270 µg/(kg </w:t>
            </w:r>
            <w:proofErr w:type="spellStart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d)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1,11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0,0097%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0,5/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0,035 L/(kg </w:t>
            </w:r>
            <w:proofErr w:type="spellStart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d)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>= 0,42 µg/L</w:t>
            </w:r>
          </w:p>
          <w:p w14:paraId="4129F4F5" w14:textId="77777777" w:rsidR="00EF7C32" w:rsidRPr="00EF7C32" w:rsidRDefault="00EF7C32" w:rsidP="00EF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1A7276F" w14:textId="42526B18" w:rsidR="00EF7C32" w:rsidRPr="00EF7C32" w:rsidRDefault="00EF7C32" w:rsidP="00EF7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>tHMS</w:t>
            </w:r>
            <w:proofErr w:type="spellEnd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-CA):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30 µg/(kg </w:t>
            </w:r>
            <w:proofErr w:type="spellStart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d)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1,11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1,0%/0,035 L/(kg </w:t>
            </w:r>
            <w:proofErr w:type="spellStart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proofErr w:type="spellEnd"/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F7C32">
              <w:rPr>
                <w:rFonts w:ascii="Cambria Math" w:hAnsi="Cambria Math" w:cs="Cambria Math"/>
                <w:color w:val="000000"/>
                <w:sz w:val="16"/>
                <w:szCs w:val="16"/>
              </w:rPr>
              <w:t>⋅</w:t>
            </w: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 xml:space="preserve"> d)</w:t>
            </w:r>
          </w:p>
          <w:p w14:paraId="631F78B5" w14:textId="04A08B4B" w:rsidR="009F0BED" w:rsidRPr="00854BB9" w:rsidRDefault="00EF7C32" w:rsidP="00EF7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7C32">
              <w:rPr>
                <w:rFonts w:ascii="Arial" w:hAnsi="Arial" w:cs="Arial"/>
                <w:color w:val="000000"/>
                <w:sz w:val="16"/>
                <w:szCs w:val="16"/>
              </w:rPr>
              <w:t>= 9,5 µg/L</w:t>
            </w:r>
            <w:r w:rsidR="009F0BE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7D0764D5" w14:textId="5229FE5D" w:rsidR="00791723" w:rsidRDefault="00791723" w:rsidP="00D52F76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Begründung</w:t>
      </w:r>
    </w:p>
    <w:p w14:paraId="50350DF7" w14:textId="47F74F5B" w:rsidR="00FF3164" w:rsidRPr="00793B4C" w:rsidRDefault="00FF3164" w:rsidP="00D52F76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Homosalat wird vermarktet unter Handelsnamen wie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Neo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Heliopan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® HMS,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Eusolex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® HMS,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Parsol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® HMS. Homosalat ist ein schwacher UV-B-Absorber mit einem Absorptionsmaximum bei 306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nm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>; mit der Verordnung (EU) 2022/2195 [</w:t>
      </w:r>
      <w:r w:rsidR="005E2B96" w:rsidRPr="00793B4C">
        <w:rPr>
          <w:rFonts w:ascii="Arial" w:eastAsia="Times New Roman" w:hAnsi="Arial" w:cs="Arial"/>
          <w:color w:val="000000"/>
          <w:sz w:val="20"/>
          <w:szCs w:val="20"/>
        </w:rPr>
        <w:t>10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>] wurde die zulässige Höchstkonzentration in gebrauchsfertigen Zubereitungen auf 7,34% reduziert und der Einsatz auf Gesichtsmittel mit Ausnahme von treibgashaltigen sprühbaren Mitteln eingeschränkt. Damit einher geht eine Änderung des Eintrags 3 in Anhang VI der Kosmetik-Verordnung (EG) 1223/2009</w:t>
      </w:r>
      <w:r w:rsidR="005E2B96"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[11]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. Bedingt durch die Stereochemie des eingesetzten Alkohols entsteht bei der Veresterung ein Gemisch aus vier Stereoisomeren, die sich in zwei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Diastereomeren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-Paare einteilen lassen,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cis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- und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trans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-Homosalat. Regulatorisch wird dieses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Isomerengemisch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wie eine einzelne Substanz behandelt. Eine Analyse verschiedener aktueller Sonnenschutzmittel und von technischem HMS zeigte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cis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>-Homosalat-Gehalte von 85–92% [1]. Homosalat wird überwiegend in Sonnenschutzmitteln verwendet; ein Produktscreening der Dänischen Umweltschutzbehörde DEPA (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Danish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Environment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Protection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Agency) hat zudem noch Gesichtscremes, Makeup und Lippenpflege als relevante Produktgruppen identifiziert [1</w:t>
      </w:r>
      <w:r w:rsidR="00A61A4F" w:rsidRPr="00793B4C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]. </w:t>
      </w:r>
    </w:p>
    <w:p w14:paraId="23646665" w14:textId="0971A4DD" w:rsidR="007705A0" w:rsidRPr="00793B4C" w:rsidRDefault="00A61A4F" w:rsidP="007705A0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B4C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7705A0"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ls Schlüsselstudie für die HBM-Wert-Ableitung 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wurde </w:t>
      </w:r>
      <w:r w:rsidR="007705A0" w:rsidRPr="00793B4C">
        <w:rPr>
          <w:rFonts w:ascii="Arial" w:eastAsia="Times New Roman" w:hAnsi="Arial" w:cs="Arial"/>
          <w:color w:val="000000"/>
          <w:sz w:val="20"/>
          <w:szCs w:val="20"/>
        </w:rPr>
        <w:t>die Studie nach OECD-Richtlinie 422 in Ratten (oraler Pfad) mit einem Homosalat-</w:t>
      </w:r>
      <w:proofErr w:type="spellStart"/>
      <w:r w:rsidR="007705A0" w:rsidRPr="00793B4C">
        <w:rPr>
          <w:rFonts w:ascii="Arial" w:eastAsia="Times New Roman" w:hAnsi="Arial" w:cs="Arial"/>
          <w:color w:val="000000"/>
          <w:sz w:val="20"/>
          <w:szCs w:val="20"/>
        </w:rPr>
        <w:t>Isomerengemisch</w:t>
      </w:r>
      <w:proofErr w:type="spellEnd"/>
      <w:r w:rsidR="007705A0"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herangezogen, die auch für die Sicherheitsbewertung durch den SCCS </w:t>
      </w:r>
      <w:r w:rsidR="00187AF8" w:rsidRPr="00793B4C">
        <w:rPr>
          <w:rFonts w:ascii="Arial" w:eastAsia="Times New Roman" w:hAnsi="Arial" w:cs="Arial"/>
          <w:color w:val="000000"/>
          <w:sz w:val="20"/>
          <w:szCs w:val="20"/>
        </w:rPr>
        <w:t>verwendet</w:t>
      </w:r>
      <w:r w:rsidR="007705A0"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wurde. Als empfindlichster Endpunkt wurden hier erhöhte absolute und relative Nierengewichte bei Männchen ab der niedrigsten Dosis von 60 mg/(kg </w:t>
      </w:r>
      <w:proofErr w:type="spellStart"/>
      <w:r w:rsidR="007705A0" w:rsidRPr="00793B4C">
        <w:rPr>
          <w:rFonts w:ascii="Arial" w:eastAsia="Times New Roman" w:hAnsi="Arial" w:cs="Arial"/>
          <w:color w:val="000000"/>
          <w:sz w:val="20"/>
          <w:szCs w:val="20"/>
        </w:rPr>
        <w:t>KG</w:t>
      </w:r>
      <w:proofErr w:type="spellEnd"/>
      <w:r w:rsidR="007705A0"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705A0" w:rsidRPr="00793B4C">
        <w:rPr>
          <w:rFonts w:ascii="Cambria Math" w:eastAsia="Times New Roman" w:hAnsi="Cambria Math" w:cs="Cambria Math"/>
          <w:color w:val="000000"/>
          <w:sz w:val="20"/>
          <w:szCs w:val="20"/>
        </w:rPr>
        <w:t>⋅</w:t>
      </w:r>
      <w:r w:rsidR="007705A0"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d) beobachtet. Dieser LOAEL wurde als Point </w:t>
      </w:r>
      <w:proofErr w:type="spellStart"/>
      <w:r w:rsidR="007705A0" w:rsidRPr="00793B4C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="007705A0"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Departure (POD) für die HBM-Wert-Ableitung verwendet, wobei, in Anlehnung an die Risikobewertung des SCCS, ein Assessment-Faktor von 3 Anwendung fand, um vom LOAEL auf den NAEL zu extrapolieren. Für die Zeitextrapolation (subchronisch auf chronisch) sieht das Konzept zur HBM-Wert-Ableitung einen zusätzlichen Assessment-Faktor von 2 vor [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="007705A0" w:rsidRPr="00793B4C">
        <w:rPr>
          <w:rFonts w:ascii="Arial" w:eastAsia="Times New Roman" w:hAnsi="Arial" w:cs="Arial"/>
          <w:color w:val="000000"/>
          <w:sz w:val="20"/>
          <w:szCs w:val="20"/>
        </w:rPr>
        <w:t>].</w:t>
      </w:r>
    </w:p>
    <w:p w14:paraId="5DB8F0AE" w14:textId="77777777" w:rsidR="007705A0" w:rsidRPr="00793B4C" w:rsidRDefault="007705A0" w:rsidP="007705A0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Somit berechnete sich die externe tolerable Dosis von HMS zur Ableitung von HBM-I-Werten (TDI-analoger Wert) mit einem Gesamtunsicherheitsfaktor von 600 (jeweils Faktor 10 für Inter- und Intraspeziesvariabilität, Faktor 3 für die Extrapolation LOAEL auf NAEL, Faktor 2 für die Zeitextrapolation) zu 100 µg/(kg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KG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· d). Analog berechnete sich mit dem LOAEL als Point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Departure die externe  Dosis von HMS zur Ableitung von HBM-II-Werten mit einem Gesamtunsicherheitsfaktor von 200 (jeweils Faktor 10 für Inter- und Intraspeziesvariabilität, Faktor 2 für die Zeitextrapolation) zu 300 µg/(kg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KG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· d).</w:t>
      </w:r>
    </w:p>
    <w:p w14:paraId="1AF621B3" w14:textId="55A63C93" w:rsidR="007705A0" w:rsidRPr="00793B4C" w:rsidRDefault="007705A0" w:rsidP="007705A0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Es wurden getrennt HBM-Werte für den jeweils sensitivsten, spezifischen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cis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-Homosalat-Biomarker (HMS-CA 5) und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trans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>-Homosalat-Biomarker (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tHMS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-CA) abgeleitet. Daher wurden für die weitere Berechnung externe Dosen für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cis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- und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trans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-Homosalat benötigt. Aufgrund des Verhältnisses von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cis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- zu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trans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-Homosalat in technischem Homosalat von 90/10 (molare Basis; in diesem Fall identisch mit w/w) ergaben sich für den Menschen externe Dosen von </w:t>
      </w:r>
    </w:p>
    <w:p w14:paraId="6F778560" w14:textId="369BB0B5" w:rsidR="007705A0" w:rsidRPr="00793B4C" w:rsidRDefault="007705A0" w:rsidP="00BE52A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90 µg/(kg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KG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· d)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cis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-Homosalat und 10 µg/(kg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KG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· d)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trans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>-Homosalat zur Berechnung der HBM-I-Werte</w:t>
      </w:r>
    </w:p>
    <w:p w14:paraId="7B85C07B" w14:textId="3D402216" w:rsidR="00A61A4F" w:rsidRPr="00793B4C" w:rsidRDefault="007705A0" w:rsidP="00A61A4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270 µg/(kg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KG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· d)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cis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-Homosalat und 30 µg/(kg </w:t>
      </w:r>
      <w:proofErr w:type="spellStart"/>
      <w:r w:rsidRPr="00793B4C">
        <w:rPr>
          <w:rFonts w:ascii="Arial" w:eastAsia="Times New Roman" w:hAnsi="Arial" w:cs="Arial"/>
          <w:color w:val="000000"/>
          <w:sz w:val="20"/>
          <w:szCs w:val="20"/>
        </w:rPr>
        <w:t>KG</w:t>
      </w:r>
      <w:proofErr w:type="spellEnd"/>
      <w:r w:rsidRPr="00793B4C">
        <w:rPr>
          <w:rFonts w:ascii="Arial" w:eastAsia="Times New Roman" w:hAnsi="Arial" w:cs="Arial"/>
          <w:color w:val="000000"/>
          <w:sz w:val="20"/>
          <w:szCs w:val="20"/>
        </w:rPr>
        <w:t xml:space="preserve"> · d) </w:t>
      </w:r>
      <w:r w:rsidRPr="00793B4C">
        <w:rPr>
          <w:rFonts w:ascii="Arial" w:eastAsia="Times New Roman" w:hAnsi="Arial" w:cs="Arial"/>
          <w:i/>
          <w:iCs/>
          <w:color w:val="000000"/>
          <w:sz w:val="20"/>
          <w:szCs w:val="20"/>
        </w:rPr>
        <w:t>trans</w:t>
      </w:r>
      <w:r w:rsidRPr="00793B4C">
        <w:rPr>
          <w:rFonts w:ascii="Arial" w:eastAsia="Times New Roman" w:hAnsi="Arial" w:cs="Arial"/>
          <w:color w:val="000000"/>
          <w:sz w:val="20"/>
          <w:szCs w:val="20"/>
        </w:rPr>
        <w:t>-Homosalat zur Berechnung der HBM-II-Werte</w:t>
      </w:r>
    </w:p>
    <w:p w14:paraId="4C3028F7" w14:textId="30850E63" w:rsidR="00A61A4F" w:rsidRDefault="00B11E42" w:rsidP="00A61A4F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C603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Referenzen</w:t>
      </w:r>
    </w:p>
    <w:p w14:paraId="552237C5" w14:textId="5570B258" w:rsidR="007F2365" w:rsidRPr="00CA048D" w:rsidRDefault="00A61A4F" w:rsidP="00A61A4F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r w:rsidR="003F3244" w:rsidRPr="00A61A4F">
        <w:rPr>
          <w:rFonts w:ascii="Arial" w:eastAsia="Times New Roman" w:hAnsi="Arial" w:cs="Arial"/>
          <w:color w:val="000000"/>
          <w:sz w:val="18"/>
          <w:szCs w:val="18"/>
        </w:rPr>
        <w:t xml:space="preserve">Ebert KE, Griem P, </w:t>
      </w:r>
      <w:proofErr w:type="spellStart"/>
      <w:r w:rsidR="003F3244" w:rsidRPr="00A61A4F">
        <w:rPr>
          <w:rFonts w:ascii="Arial" w:eastAsia="Times New Roman" w:hAnsi="Arial" w:cs="Arial"/>
          <w:color w:val="000000"/>
          <w:sz w:val="18"/>
          <w:szCs w:val="18"/>
        </w:rPr>
        <w:t>Weiss</w:t>
      </w:r>
      <w:proofErr w:type="spellEnd"/>
      <w:r w:rsidR="003F3244" w:rsidRPr="00A61A4F">
        <w:rPr>
          <w:rFonts w:ascii="Arial" w:eastAsia="Times New Roman" w:hAnsi="Arial" w:cs="Arial"/>
          <w:color w:val="000000"/>
          <w:sz w:val="18"/>
          <w:szCs w:val="18"/>
        </w:rPr>
        <w:t xml:space="preserve"> T et al. </w:t>
      </w:r>
      <w:r w:rsidR="003F3244" w:rsidRPr="00A61A4F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(2022) Diastereoselective metabolism of </w:t>
      </w:r>
      <w:proofErr w:type="spellStart"/>
      <w:r w:rsidR="003F3244" w:rsidRPr="00A61A4F">
        <w:rPr>
          <w:rFonts w:ascii="Arial" w:eastAsia="Times New Roman" w:hAnsi="Arial" w:cs="Arial"/>
          <w:color w:val="000000"/>
          <w:sz w:val="18"/>
          <w:szCs w:val="18"/>
          <w:lang w:val="en-GB"/>
        </w:rPr>
        <w:t>homomenthyl</w:t>
      </w:r>
      <w:proofErr w:type="spellEnd"/>
      <w:r w:rsidR="003F3244" w:rsidRPr="00A61A4F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salicylate (</w:t>
      </w:r>
      <w:proofErr w:type="spellStart"/>
      <w:r w:rsidR="003F3244" w:rsidRPr="00A61A4F">
        <w:rPr>
          <w:rFonts w:ascii="Arial" w:eastAsia="Times New Roman" w:hAnsi="Arial" w:cs="Arial"/>
          <w:color w:val="000000"/>
          <w:sz w:val="18"/>
          <w:szCs w:val="18"/>
          <w:lang w:val="en-GB"/>
        </w:rPr>
        <w:t>homosalate</w:t>
      </w:r>
      <w:proofErr w:type="spellEnd"/>
      <w:r w:rsidR="003F3244" w:rsidRPr="00A61A4F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): Identification of relevant human exposure biomarkers. </w:t>
      </w:r>
      <w:r w:rsidR="003F3244" w:rsidRPr="00CA048D">
        <w:rPr>
          <w:rFonts w:ascii="Arial" w:eastAsia="Times New Roman" w:hAnsi="Arial" w:cs="Arial"/>
          <w:color w:val="000000"/>
          <w:sz w:val="18"/>
          <w:szCs w:val="18"/>
        </w:rPr>
        <w:t xml:space="preserve">Environ </w:t>
      </w:r>
      <w:proofErr w:type="spellStart"/>
      <w:r w:rsidR="003F3244" w:rsidRPr="00CA048D">
        <w:rPr>
          <w:rFonts w:ascii="Arial" w:eastAsia="Times New Roman" w:hAnsi="Arial" w:cs="Arial"/>
          <w:color w:val="000000"/>
          <w:sz w:val="18"/>
          <w:szCs w:val="18"/>
        </w:rPr>
        <w:t>Int</w:t>
      </w:r>
      <w:proofErr w:type="spellEnd"/>
      <w:r w:rsidR="003F3244" w:rsidRPr="00CA048D">
        <w:rPr>
          <w:rFonts w:ascii="Arial" w:eastAsia="Times New Roman" w:hAnsi="Arial" w:cs="Arial"/>
          <w:color w:val="000000"/>
          <w:sz w:val="18"/>
          <w:szCs w:val="18"/>
        </w:rPr>
        <w:t xml:space="preserve"> 170:107637. </w:t>
      </w:r>
      <w:hyperlink r:id="rId11" w:history="1">
        <w:r w:rsidR="00C135D4" w:rsidRPr="00CA048D">
          <w:rPr>
            <w:rStyle w:val="Hyperlink"/>
            <w:rFonts w:ascii="Arial" w:eastAsia="Times New Roman" w:hAnsi="Arial" w:cs="Arial"/>
            <w:sz w:val="18"/>
            <w:szCs w:val="18"/>
          </w:rPr>
          <w:t>https://doi.org/10.1016/j.envint.2022.107637</w:t>
        </w:r>
      </w:hyperlink>
    </w:p>
    <w:p w14:paraId="6A0F0167" w14:textId="025B4C58" w:rsidR="00C135D4" w:rsidRPr="009C0161" w:rsidRDefault="00A61A4F" w:rsidP="00C135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C0161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r w:rsidR="009C0161" w:rsidRPr="009C0161">
        <w:rPr>
          <w:rFonts w:ascii="Arial" w:eastAsia="Times New Roman" w:hAnsi="Arial" w:cs="Arial"/>
          <w:color w:val="000000"/>
          <w:sz w:val="18"/>
          <w:szCs w:val="18"/>
        </w:rPr>
        <w:t>Kommission Human-Biomonitoring des Umweltbundesamtes (20</w:t>
      </w:r>
      <w:r w:rsidR="009C0161">
        <w:rPr>
          <w:rFonts w:ascii="Arial" w:eastAsia="Times New Roman" w:hAnsi="Arial" w:cs="Arial"/>
          <w:color w:val="000000"/>
          <w:sz w:val="18"/>
          <w:szCs w:val="18"/>
        </w:rPr>
        <w:t>26</w:t>
      </w:r>
      <w:r w:rsidR="009C0161" w:rsidRPr="009C0161">
        <w:rPr>
          <w:rFonts w:ascii="Arial" w:eastAsia="Times New Roman" w:hAnsi="Arial" w:cs="Arial"/>
          <w:color w:val="000000"/>
          <w:sz w:val="18"/>
          <w:szCs w:val="18"/>
        </w:rPr>
        <w:t>)</w:t>
      </w:r>
      <w:r w:rsidR="009C016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9C0161" w:rsidRPr="009C0161">
        <w:rPr>
          <w:rFonts w:ascii="Arial" w:eastAsia="Times New Roman" w:hAnsi="Arial" w:cs="Arial"/>
          <w:color w:val="000000"/>
          <w:sz w:val="18"/>
          <w:szCs w:val="18"/>
        </w:rPr>
        <w:t>Stoffmonographie für Homosalat (</w:t>
      </w:r>
      <w:proofErr w:type="spellStart"/>
      <w:r w:rsidR="009C0161" w:rsidRPr="009C0161">
        <w:rPr>
          <w:rFonts w:ascii="Arial" w:eastAsia="Times New Roman" w:hAnsi="Arial" w:cs="Arial"/>
          <w:color w:val="000000"/>
          <w:sz w:val="18"/>
          <w:szCs w:val="18"/>
        </w:rPr>
        <w:t>Homomenthylsalicylat</w:t>
      </w:r>
      <w:proofErr w:type="spellEnd"/>
      <w:r w:rsidR="009C0161" w:rsidRPr="009C0161">
        <w:rPr>
          <w:rFonts w:ascii="Arial" w:eastAsia="Times New Roman" w:hAnsi="Arial" w:cs="Arial"/>
          <w:color w:val="000000"/>
          <w:sz w:val="18"/>
          <w:szCs w:val="18"/>
        </w:rPr>
        <w:t xml:space="preserve">, HMS) – HBM-​Werte für die Metaboliten </w:t>
      </w:r>
      <w:proofErr w:type="spellStart"/>
      <w:r w:rsidR="009C0161" w:rsidRPr="009C0161">
        <w:rPr>
          <w:rFonts w:ascii="Arial" w:eastAsia="Times New Roman" w:hAnsi="Arial" w:cs="Arial"/>
          <w:color w:val="000000"/>
          <w:sz w:val="18"/>
          <w:szCs w:val="18"/>
        </w:rPr>
        <w:t>tHMS</w:t>
      </w:r>
      <w:proofErr w:type="spellEnd"/>
      <w:r w:rsidR="009C0161" w:rsidRPr="009C0161">
        <w:rPr>
          <w:rFonts w:ascii="Arial" w:eastAsia="Times New Roman" w:hAnsi="Arial" w:cs="Arial"/>
          <w:color w:val="000000"/>
          <w:sz w:val="18"/>
          <w:szCs w:val="18"/>
        </w:rPr>
        <w:t xml:space="preserve">-CA und HMS-CA5 im Urin von Erwachsenen und Kindern. </w:t>
      </w:r>
      <w:proofErr w:type="spellStart"/>
      <w:r w:rsidR="009C0161" w:rsidRPr="009C0161">
        <w:rPr>
          <w:rFonts w:ascii="Arial" w:eastAsia="Times New Roman" w:hAnsi="Arial" w:cs="Arial"/>
          <w:color w:val="000000"/>
          <w:sz w:val="18"/>
          <w:szCs w:val="18"/>
        </w:rPr>
        <w:t>Bundesgesundheitsbl</w:t>
      </w:r>
      <w:proofErr w:type="spellEnd"/>
      <w:r w:rsidR="009C0161" w:rsidRPr="009C0161">
        <w:rPr>
          <w:rFonts w:ascii="Arial" w:eastAsia="Times New Roman" w:hAnsi="Arial" w:cs="Arial"/>
          <w:color w:val="000000"/>
          <w:sz w:val="18"/>
          <w:szCs w:val="18"/>
        </w:rPr>
        <w:t xml:space="preserve"> 69</w:t>
      </w:r>
      <w:r w:rsidR="009C0161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="002154C0" w:rsidRPr="00E06424">
        <w:rPr>
          <w:rFonts w:ascii="Arial" w:eastAsia="Times New Roman" w:hAnsi="Arial" w:cs="Arial"/>
          <w:color w:val="000000"/>
          <w:sz w:val="18"/>
          <w:szCs w:val="18"/>
        </w:rPr>
        <w:t>https://doi.org/10.1007/s00103-026-04205-x</w:t>
      </w:r>
    </w:p>
    <w:p w14:paraId="1A109375" w14:textId="77777777" w:rsidR="00A61A4F" w:rsidRPr="009C0161" w:rsidRDefault="00A61A4F" w:rsidP="00C135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2B495349" w14:textId="3BBEF17B" w:rsidR="00C135D4" w:rsidRPr="00C135D4" w:rsidRDefault="00C135D4" w:rsidP="00C135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C135D4">
        <w:rPr>
          <w:rFonts w:ascii="Arial" w:eastAsia="Times New Roman" w:hAnsi="Arial" w:cs="Arial"/>
          <w:color w:val="000000"/>
          <w:sz w:val="18"/>
          <w:szCs w:val="18"/>
        </w:rPr>
        <w:t xml:space="preserve">Ebert KE, Belov VN, </w:t>
      </w:r>
      <w:proofErr w:type="spellStart"/>
      <w:r w:rsidRPr="00C135D4">
        <w:rPr>
          <w:rFonts w:ascii="Arial" w:eastAsia="Times New Roman" w:hAnsi="Arial" w:cs="Arial"/>
          <w:color w:val="000000"/>
          <w:sz w:val="18"/>
          <w:szCs w:val="18"/>
        </w:rPr>
        <w:t>Weiss</w:t>
      </w:r>
      <w:proofErr w:type="spellEnd"/>
      <w:r w:rsidRPr="00C135D4">
        <w:rPr>
          <w:rFonts w:ascii="Arial" w:eastAsia="Times New Roman" w:hAnsi="Arial" w:cs="Arial"/>
          <w:color w:val="000000"/>
          <w:sz w:val="18"/>
          <w:szCs w:val="18"/>
        </w:rPr>
        <w:t xml:space="preserve"> T et al. </w:t>
      </w:r>
      <w:r w:rsidRPr="00C135D4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(2021) Determination of urinary metabolites of the UV filter </w:t>
      </w:r>
      <w:proofErr w:type="spellStart"/>
      <w:r w:rsidRPr="00C135D4">
        <w:rPr>
          <w:rFonts w:ascii="Arial" w:eastAsia="Times New Roman" w:hAnsi="Arial" w:cs="Arial"/>
          <w:color w:val="000000"/>
          <w:sz w:val="18"/>
          <w:szCs w:val="18"/>
          <w:lang w:val="en-GB"/>
        </w:rPr>
        <w:t>homosalate</w:t>
      </w:r>
      <w:proofErr w:type="spellEnd"/>
      <w:r w:rsidRPr="00C135D4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by online-SPE-LC-MS/MS. Anal </w:t>
      </w:r>
      <w:proofErr w:type="spellStart"/>
      <w:r w:rsidRPr="00C135D4">
        <w:rPr>
          <w:rFonts w:ascii="Arial" w:eastAsia="Times New Roman" w:hAnsi="Arial" w:cs="Arial"/>
          <w:color w:val="000000"/>
          <w:sz w:val="18"/>
          <w:szCs w:val="18"/>
          <w:lang w:val="en-GB"/>
        </w:rPr>
        <w:t>Chim</w:t>
      </w:r>
      <w:proofErr w:type="spellEnd"/>
      <w:r w:rsidRPr="00C135D4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Acta 1176:338754. https://doi.org/10.1016/j.aca.2021.338754</w:t>
      </w:r>
    </w:p>
    <w:p w14:paraId="2D1B6912" w14:textId="77777777" w:rsidR="00C135D4" w:rsidRDefault="00C135D4" w:rsidP="00C135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</w:p>
    <w:p w14:paraId="053A54DC" w14:textId="5C97684F" w:rsidR="00C135D4" w:rsidRPr="00FF6D42" w:rsidRDefault="00C135D4" w:rsidP="00C135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  <w:r w:rsidRPr="00C135D4">
        <w:rPr>
          <w:rFonts w:ascii="Arial" w:eastAsia="Times New Roman" w:hAnsi="Arial" w:cs="Arial"/>
          <w:color w:val="000000"/>
          <w:sz w:val="18"/>
          <w:szCs w:val="18"/>
          <w:lang w:val="en-GB"/>
        </w:rPr>
        <w:t>4.</w:t>
      </w:r>
      <w:r w:rsidR="00793B4C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</w:t>
      </w:r>
      <w:r w:rsidRPr="00C135D4">
        <w:rPr>
          <w:rFonts w:ascii="Arial" w:eastAsia="Times New Roman" w:hAnsi="Arial" w:cs="Arial"/>
          <w:color w:val="000000"/>
          <w:sz w:val="18"/>
          <w:szCs w:val="18"/>
          <w:lang w:val="en-GB"/>
        </w:rPr>
        <w:t>Ebert KE, Belov VN, John M et al. (2024) Identification, Organic Synthesis, and Sensitive Analysis of a cis-</w:t>
      </w:r>
      <w:proofErr w:type="spellStart"/>
      <w:r w:rsidRPr="00C135D4">
        <w:rPr>
          <w:rFonts w:ascii="Arial" w:eastAsia="Times New Roman" w:hAnsi="Arial" w:cs="Arial"/>
          <w:color w:val="000000"/>
          <w:sz w:val="18"/>
          <w:szCs w:val="18"/>
          <w:lang w:val="en-GB"/>
        </w:rPr>
        <w:t>Homosalate</w:t>
      </w:r>
      <w:proofErr w:type="spellEnd"/>
      <w:r w:rsidRPr="00C135D4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-Specific Exposure Biomarker. </w:t>
      </w:r>
      <w:r w:rsidRPr="00FF6D42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Chem Res </w:t>
      </w:r>
      <w:proofErr w:type="spellStart"/>
      <w:r w:rsidRPr="00FF6D42">
        <w:rPr>
          <w:rFonts w:ascii="Arial" w:eastAsia="Times New Roman" w:hAnsi="Arial" w:cs="Arial"/>
          <w:color w:val="000000"/>
          <w:sz w:val="18"/>
          <w:szCs w:val="18"/>
          <w:lang w:val="en-GB"/>
        </w:rPr>
        <w:t>Toxicol</w:t>
      </w:r>
      <w:proofErr w:type="spellEnd"/>
      <w:r w:rsidRPr="00FF6D42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37:285–291. https://doi.org/10.1021/acs.chemrestox.3c00287</w:t>
      </w:r>
    </w:p>
    <w:p w14:paraId="44AED522" w14:textId="77777777" w:rsidR="00FF6D42" w:rsidRDefault="00FF6D42" w:rsidP="00C135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</w:p>
    <w:p w14:paraId="1958288E" w14:textId="784B0D78" w:rsidR="00C135D4" w:rsidRPr="00FF6D42" w:rsidRDefault="00FF6D42" w:rsidP="00C135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GB"/>
        </w:rPr>
        <w:lastRenderedPageBreak/>
        <w:t xml:space="preserve">5. </w:t>
      </w:r>
      <w:r w:rsidRPr="00FF6D42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European Chemicals Agency ECHA Chemicals Database – </w:t>
      </w:r>
      <w:proofErr w:type="spellStart"/>
      <w:r w:rsidRPr="00FF6D42">
        <w:rPr>
          <w:rFonts w:ascii="Arial" w:eastAsia="Times New Roman" w:hAnsi="Arial" w:cs="Arial"/>
          <w:color w:val="000000"/>
          <w:sz w:val="18"/>
          <w:szCs w:val="18"/>
          <w:lang w:val="en-GB"/>
        </w:rPr>
        <w:t>Homosalate</w:t>
      </w:r>
      <w:proofErr w:type="spellEnd"/>
      <w:r w:rsidRPr="00FF6D42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Registration Dossier. https://chem.echa.europa.eu/100.003.874/dossier-view/bce15553-9643-4870-99b9-313528412347/1782fb6e-f054-40ec-aa64-26bdcd005a7f_1782fb6e-f054-40ec-aa64-26bdcd005a7f?searchText=homosalate. </w:t>
      </w:r>
    </w:p>
    <w:p w14:paraId="54260E0A" w14:textId="77777777" w:rsidR="00FF6D42" w:rsidRDefault="00FF6D42" w:rsidP="00C135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</w:p>
    <w:p w14:paraId="092FD0B7" w14:textId="2EDCE951" w:rsidR="00CD3FBA" w:rsidRPr="00FF6D42" w:rsidRDefault="00CD3FBA" w:rsidP="00C135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6. </w:t>
      </w:r>
      <w:r w:rsidRPr="00CD3FBA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Scientific Committee on Consumer Safety (2021) Opinion on </w:t>
      </w:r>
      <w:proofErr w:type="spellStart"/>
      <w:r w:rsidRPr="00CD3FBA">
        <w:rPr>
          <w:rFonts w:ascii="Arial" w:eastAsia="Times New Roman" w:hAnsi="Arial" w:cs="Arial"/>
          <w:color w:val="000000"/>
          <w:sz w:val="18"/>
          <w:szCs w:val="18"/>
          <w:lang w:val="en-GB"/>
        </w:rPr>
        <w:t>Homosalate</w:t>
      </w:r>
      <w:proofErr w:type="spellEnd"/>
      <w:r w:rsidRPr="00CD3FBA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(CAS No 118-56-9, EC No 204-260-8), preliminary version of 27-28 October 2020, final version of 24-25 June 2021, SCCS/1622/20. https://health.ec.europa.eu/system/files/2022-08/sccs_o_244.pdf</w:t>
      </w:r>
    </w:p>
    <w:p w14:paraId="62CFDC95" w14:textId="77777777" w:rsidR="00F42892" w:rsidRPr="00FF6D42" w:rsidRDefault="00F42892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</w:p>
    <w:p w14:paraId="710980DD" w14:textId="77777777" w:rsidR="007469C2" w:rsidRPr="007469C2" w:rsidRDefault="007469C2" w:rsidP="00746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469C2">
        <w:rPr>
          <w:rFonts w:ascii="Arial" w:eastAsia="Times New Roman" w:hAnsi="Arial" w:cs="Arial"/>
          <w:color w:val="000000"/>
          <w:sz w:val="18"/>
          <w:szCs w:val="18"/>
        </w:rPr>
        <w:t xml:space="preserve">7. Kommission Human-Biomonitoring des Umweltbundesamtes (2014) Grundsatzpapier zur Ableitung von HBM-Werten. Stellungnahme der Kommission Human-Biomonitoring des Umweltbundesamtes. </w:t>
      </w:r>
      <w:proofErr w:type="spellStart"/>
      <w:r w:rsidRPr="007469C2">
        <w:rPr>
          <w:rFonts w:ascii="Arial" w:eastAsia="Times New Roman" w:hAnsi="Arial" w:cs="Arial"/>
          <w:color w:val="000000"/>
          <w:sz w:val="18"/>
          <w:szCs w:val="18"/>
        </w:rPr>
        <w:t>Bundesgesundheitsbl</w:t>
      </w:r>
      <w:proofErr w:type="spellEnd"/>
      <w:r w:rsidRPr="007469C2">
        <w:rPr>
          <w:rFonts w:ascii="Arial" w:eastAsia="Times New Roman" w:hAnsi="Arial" w:cs="Arial"/>
          <w:color w:val="000000"/>
          <w:sz w:val="18"/>
          <w:szCs w:val="18"/>
        </w:rPr>
        <w:t xml:space="preserve"> Gesundheitsforsch Gesundheitsschutz 57(1):138-147. </w:t>
      </w:r>
    </w:p>
    <w:p w14:paraId="5F352297" w14:textId="62C9EE62" w:rsidR="007469C2" w:rsidRDefault="00F611D1" w:rsidP="00746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hyperlink r:id="rId12" w:history="1">
        <w:r w:rsidR="007469C2" w:rsidRPr="002B09D7">
          <w:rPr>
            <w:rStyle w:val="Hyperlink"/>
            <w:rFonts w:ascii="Arial" w:eastAsia="Times New Roman" w:hAnsi="Arial" w:cs="Arial"/>
            <w:sz w:val="18"/>
            <w:szCs w:val="18"/>
          </w:rPr>
          <w:t>http://link.springer.com/article/10.1007/s00103-013-1867-2</w:t>
        </w:r>
      </w:hyperlink>
    </w:p>
    <w:p w14:paraId="2A93AADA" w14:textId="77777777" w:rsidR="007469C2" w:rsidRDefault="007469C2" w:rsidP="00746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44CA004A" w14:textId="1C883D87" w:rsidR="007469C2" w:rsidRDefault="00D976A4" w:rsidP="007469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8. </w:t>
      </w:r>
      <w:r w:rsidR="007469C2" w:rsidRPr="007469C2">
        <w:rPr>
          <w:rFonts w:ascii="Arial" w:eastAsia="Times New Roman" w:hAnsi="Arial" w:cs="Arial"/>
          <w:color w:val="000000"/>
          <w:sz w:val="18"/>
          <w:szCs w:val="18"/>
        </w:rPr>
        <w:t xml:space="preserve">Ebert KE, Griem P, </w:t>
      </w:r>
      <w:proofErr w:type="spellStart"/>
      <w:r w:rsidR="007469C2" w:rsidRPr="007469C2">
        <w:rPr>
          <w:rFonts w:ascii="Arial" w:eastAsia="Times New Roman" w:hAnsi="Arial" w:cs="Arial"/>
          <w:color w:val="000000"/>
          <w:sz w:val="18"/>
          <w:szCs w:val="18"/>
        </w:rPr>
        <w:t>Weiss</w:t>
      </w:r>
      <w:proofErr w:type="spellEnd"/>
      <w:r w:rsidR="007469C2" w:rsidRPr="007469C2">
        <w:rPr>
          <w:rFonts w:ascii="Arial" w:eastAsia="Times New Roman" w:hAnsi="Arial" w:cs="Arial"/>
          <w:color w:val="000000"/>
          <w:sz w:val="18"/>
          <w:szCs w:val="18"/>
        </w:rPr>
        <w:t xml:space="preserve"> T et al. </w:t>
      </w:r>
      <w:r w:rsidR="007469C2" w:rsidRPr="007469C2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(2024) </w:t>
      </w:r>
      <w:proofErr w:type="spellStart"/>
      <w:r w:rsidR="007469C2" w:rsidRPr="007469C2">
        <w:rPr>
          <w:rFonts w:ascii="Arial" w:eastAsia="Times New Roman" w:hAnsi="Arial" w:cs="Arial"/>
          <w:color w:val="000000"/>
          <w:sz w:val="18"/>
          <w:szCs w:val="18"/>
          <w:lang w:val="en-GB"/>
        </w:rPr>
        <w:t>Toxicokinetics</w:t>
      </w:r>
      <w:proofErr w:type="spellEnd"/>
      <w:r w:rsidR="007469C2" w:rsidRPr="007469C2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of </w:t>
      </w:r>
      <w:proofErr w:type="spellStart"/>
      <w:r w:rsidR="007469C2" w:rsidRPr="007469C2">
        <w:rPr>
          <w:rFonts w:ascii="Arial" w:eastAsia="Times New Roman" w:hAnsi="Arial" w:cs="Arial"/>
          <w:color w:val="000000"/>
          <w:sz w:val="18"/>
          <w:szCs w:val="18"/>
          <w:lang w:val="en-GB"/>
        </w:rPr>
        <w:t>homosalate</w:t>
      </w:r>
      <w:proofErr w:type="spellEnd"/>
      <w:r w:rsidR="007469C2" w:rsidRPr="007469C2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in humans after dermal application: applicability of oral-route data for exposure assessment by human biomonitoring. </w:t>
      </w:r>
      <w:r w:rsidR="007469C2" w:rsidRPr="007469C2">
        <w:rPr>
          <w:rFonts w:ascii="Arial" w:eastAsia="Times New Roman" w:hAnsi="Arial" w:cs="Arial"/>
          <w:color w:val="000000"/>
          <w:sz w:val="18"/>
          <w:szCs w:val="18"/>
        </w:rPr>
        <w:t xml:space="preserve">Arch </w:t>
      </w:r>
      <w:proofErr w:type="spellStart"/>
      <w:r w:rsidR="007469C2" w:rsidRPr="007469C2">
        <w:rPr>
          <w:rFonts w:ascii="Arial" w:eastAsia="Times New Roman" w:hAnsi="Arial" w:cs="Arial"/>
          <w:color w:val="000000"/>
          <w:sz w:val="18"/>
          <w:szCs w:val="18"/>
        </w:rPr>
        <w:t>Toxicol</w:t>
      </w:r>
      <w:proofErr w:type="spellEnd"/>
      <w:r w:rsidR="007469C2" w:rsidRPr="007469C2">
        <w:rPr>
          <w:rFonts w:ascii="Arial" w:eastAsia="Times New Roman" w:hAnsi="Arial" w:cs="Arial"/>
          <w:color w:val="000000"/>
          <w:sz w:val="18"/>
          <w:szCs w:val="18"/>
        </w:rPr>
        <w:t xml:space="preserve"> 98:1383–1398. https://doi.org/10.1007/s00204-024-03704-7</w:t>
      </w:r>
    </w:p>
    <w:p w14:paraId="1856B008" w14:textId="77777777" w:rsidR="007469C2" w:rsidRDefault="007469C2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26E4DC57" w14:textId="7BBA3010" w:rsidR="00C2363A" w:rsidRPr="000238B0" w:rsidRDefault="005E2B96" w:rsidP="00C2363A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eastAsia="Times New Roman" w:hAnsi="Arial" w:cs="Arial"/>
          <w:sz w:val="18"/>
          <w:szCs w:val="18"/>
          <w:lang w:val="en-GB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F42892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="00BC6035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Kommission Human-Biomonitoring des Umweltbundesamtes (2025) </w:t>
      </w:r>
      <w:r w:rsidR="00C2363A" w:rsidRPr="00BC6035">
        <w:rPr>
          <w:rFonts w:ascii="Arial" w:eastAsia="Times New Roman" w:hAnsi="Arial" w:cs="Arial"/>
          <w:color w:val="000000"/>
          <w:sz w:val="18"/>
          <w:szCs w:val="18"/>
        </w:rPr>
        <w:t xml:space="preserve">Änderung des Leitwertes für die körpergewichtsnormierte tägliche Urinausscheidung von Erwachsenen. </w:t>
      </w:r>
      <w:proofErr w:type="spellStart"/>
      <w:r w:rsidR="00C2363A" w:rsidRPr="009C0161">
        <w:rPr>
          <w:rFonts w:ascii="Arial" w:eastAsia="Times New Roman" w:hAnsi="Arial" w:cs="Arial"/>
          <w:color w:val="000000"/>
          <w:sz w:val="18"/>
          <w:szCs w:val="18"/>
          <w:lang w:val="en-GB"/>
        </w:rPr>
        <w:t>Bundesgesundheitsbl</w:t>
      </w:r>
      <w:proofErr w:type="spellEnd"/>
      <w:r w:rsidR="00C2363A" w:rsidRPr="009C0161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68</w:t>
      </w:r>
      <w:r w:rsidR="00BC6035" w:rsidRPr="000238B0">
        <w:rPr>
          <w:rFonts w:ascii="Arial" w:eastAsia="Times New Roman" w:hAnsi="Arial" w:cs="Arial"/>
          <w:color w:val="000000"/>
          <w:sz w:val="18"/>
          <w:szCs w:val="18"/>
          <w:lang w:val="en-GB"/>
        </w:rPr>
        <w:t>:</w:t>
      </w:r>
      <w:r w:rsidR="00C2363A" w:rsidRPr="000238B0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830–837</w:t>
      </w:r>
      <w:r w:rsidR="00BC6035" w:rsidRPr="000238B0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. </w:t>
      </w:r>
      <w:hyperlink r:id="rId13" w:history="1">
        <w:r w:rsidR="00C2363A" w:rsidRPr="000238B0">
          <w:rPr>
            <w:rStyle w:val="Hyperlink"/>
            <w:rFonts w:ascii="Arial" w:eastAsia="Times New Roman" w:hAnsi="Arial" w:cs="Arial"/>
            <w:sz w:val="18"/>
            <w:szCs w:val="18"/>
            <w:lang w:val="en-GB"/>
          </w:rPr>
          <w:t>https://doi.org/10.1007/s00103-025-04062-0</w:t>
        </w:r>
      </w:hyperlink>
    </w:p>
    <w:p w14:paraId="1B23F07C" w14:textId="77777777" w:rsidR="005E2B96" w:rsidRPr="000238B0" w:rsidRDefault="005E2B96" w:rsidP="00C2363A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eastAsia="Times New Roman" w:hAnsi="Arial" w:cs="Arial"/>
          <w:sz w:val="18"/>
          <w:szCs w:val="18"/>
          <w:lang w:val="en-GB"/>
        </w:rPr>
      </w:pPr>
    </w:p>
    <w:p w14:paraId="79DB28E6" w14:textId="6D84E174" w:rsidR="005E2B96" w:rsidRDefault="005E2B96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10. </w:t>
      </w:r>
      <w:r w:rsidRPr="005E2B96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Commission Regulation (EU) 2022/2195 of 10 November 2022 amending Regulation (EC) No 1223/2009 of the European Parliament and of the Council as regards the use of Butylated Hydroxytoluene, Acid Yellow 3, </w:t>
      </w:r>
      <w:proofErr w:type="spellStart"/>
      <w:r w:rsidRPr="005E2B96">
        <w:rPr>
          <w:rFonts w:ascii="Arial" w:eastAsia="Times New Roman" w:hAnsi="Arial" w:cs="Arial"/>
          <w:color w:val="000000"/>
          <w:sz w:val="18"/>
          <w:szCs w:val="18"/>
          <w:lang w:val="en-GB"/>
        </w:rPr>
        <w:t>Homosalate</w:t>
      </w:r>
      <w:proofErr w:type="spellEnd"/>
      <w:r w:rsidRPr="005E2B96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 and HAA299 in cosmetic products and correcting that Regulation as regards the use of Resorcinol in cosmetic products</w:t>
      </w:r>
    </w:p>
    <w:p w14:paraId="5705FA29" w14:textId="77777777" w:rsidR="005E2B96" w:rsidRDefault="005E2B96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</w:p>
    <w:p w14:paraId="34E5CC4C" w14:textId="381B4837" w:rsidR="00C2363A" w:rsidRPr="000238B0" w:rsidRDefault="005E2B96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11. </w:t>
      </w:r>
      <w:r w:rsidRPr="005E2B96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European Parliament and the Council (2009) Regulation (EC) No 1223/2009 of the European Parliament and of the Council of 30 November 2009 on cosmetic products. </w:t>
      </w:r>
      <w:hyperlink r:id="rId14" w:history="1">
        <w:r w:rsidR="00A61A4F" w:rsidRPr="000238B0">
          <w:rPr>
            <w:rStyle w:val="Hyperlink"/>
            <w:rFonts w:ascii="Arial" w:eastAsia="Times New Roman" w:hAnsi="Arial" w:cs="Arial"/>
            <w:sz w:val="18"/>
            <w:szCs w:val="18"/>
          </w:rPr>
          <w:t>https://eur-lex.europa.eu/legal-content/EN/TXT/?uri=CELEX%3A02009R1223-20250901</w:t>
        </w:r>
      </w:hyperlink>
    </w:p>
    <w:p w14:paraId="74A928EC" w14:textId="77777777" w:rsidR="00A61A4F" w:rsidRPr="000238B0" w:rsidRDefault="00A61A4F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7B0FE143" w14:textId="51DCAEC8" w:rsidR="00A61A4F" w:rsidRPr="005E2B96" w:rsidRDefault="00A61A4F" w:rsidP="00C23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12. </w:t>
      </w:r>
      <w:r w:rsidRPr="00A61A4F">
        <w:rPr>
          <w:rFonts w:ascii="Arial" w:eastAsia="Times New Roman" w:hAnsi="Arial" w:cs="Arial"/>
          <w:color w:val="000000"/>
          <w:sz w:val="18"/>
          <w:szCs w:val="18"/>
          <w:lang w:val="en-GB"/>
        </w:rPr>
        <w:t xml:space="preserve">Danish Environmental Protection Agency (2015) Survey and Health Assessment of UV Filters: Survey of Chemical Substances in Consumer Products No. 142, 2015. http://www2.mst.dk/Udgiv/publications/2015/10/978-87-93352-82-7.pdf. </w:t>
      </w:r>
      <w:proofErr w:type="spellStart"/>
      <w:r w:rsidRPr="00A61A4F">
        <w:rPr>
          <w:rFonts w:ascii="Arial" w:eastAsia="Times New Roman" w:hAnsi="Arial" w:cs="Arial"/>
          <w:color w:val="000000"/>
          <w:sz w:val="18"/>
          <w:szCs w:val="18"/>
          <w:lang w:val="en-GB"/>
        </w:rPr>
        <w:t>Zugegriffen</w:t>
      </w:r>
      <w:proofErr w:type="spellEnd"/>
      <w:r w:rsidRPr="00A61A4F">
        <w:rPr>
          <w:rFonts w:ascii="Arial" w:eastAsia="Times New Roman" w:hAnsi="Arial" w:cs="Arial"/>
          <w:color w:val="000000"/>
          <w:sz w:val="18"/>
          <w:szCs w:val="18"/>
          <w:lang w:val="en-GB"/>
        </w:rPr>
        <w:t>: August 2022</w:t>
      </w:r>
    </w:p>
    <w:p w14:paraId="7C6FFCB8" w14:textId="77777777" w:rsidR="00D52F76" w:rsidRPr="005E2B96" w:rsidRDefault="00D52F76" w:rsidP="00D52F76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</w:p>
    <w:p w14:paraId="1357B1D2" w14:textId="200905EE" w:rsidR="00D52F76" w:rsidRPr="005E2B96" w:rsidRDefault="00D52F76" w:rsidP="000910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</w:p>
    <w:sectPr w:rsidR="00D52F76" w:rsidRPr="005E2B96" w:rsidSect="00B657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0F01" w14:textId="77777777" w:rsidR="00EE488E" w:rsidRDefault="00EE488E" w:rsidP="00EE488E">
      <w:pPr>
        <w:spacing w:after="0" w:line="240" w:lineRule="auto"/>
      </w:pPr>
      <w:r>
        <w:separator/>
      </w:r>
    </w:p>
  </w:endnote>
  <w:endnote w:type="continuationSeparator" w:id="0">
    <w:p w14:paraId="18C34C48" w14:textId="77777777" w:rsidR="00EE488E" w:rsidRDefault="00EE488E" w:rsidP="00EE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FBC4" w14:textId="77777777" w:rsidR="00EE488E" w:rsidRDefault="00EE488E" w:rsidP="00EE488E">
      <w:pPr>
        <w:spacing w:after="0" w:line="240" w:lineRule="auto"/>
      </w:pPr>
      <w:r>
        <w:separator/>
      </w:r>
    </w:p>
  </w:footnote>
  <w:footnote w:type="continuationSeparator" w:id="0">
    <w:p w14:paraId="0C5CB1B8" w14:textId="77777777" w:rsidR="00EE488E" w:rsidRDefault="00EE488E" w:rsidP="00EE4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96E"/>
    <w:multiLevelType w:val="hybridMultilevel"/>
    <w:tmpl w:val="30909418"/>
    <w:lvl w:ilvl="0" w:tplc="871E1A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C2760"/>
    <w:multiLevelType w:val="hybridMultilevel"/>
    <w:tmpl w:val="A532E4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34276"/>
    <w:multiLevelType w:val="multilevel"/>
    <w:tmpl w:val="5AFA9D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764663"/>
    <w:multiLevelType w:val="hybridMultilevel"/>
    <w:tmpl w:val="03784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51E1"/>
    <w:multiLevelType w:val="hybridMultilevel"/>
    <w:tmpl w:val="89F61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70CBF"/>
    <w:multiLevelType w:val="hybridMultilevel"/>
    <w:tmpl w:val="058E7050"/>
    <w:lvl w:ilvl="0" w:tplc="04070001">
      <w:start w:val="1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4ECA"/>
    <w:multiLevelType w:val="hybridMultilevel"/>
    <w:tmpl w:val="3D6489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63B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8327045"/>
    <w:multiLevelType w:val="multilevel"/>
    <w:tmpl w:val="A9F4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1190B"/>
    <w:multiLevelType w:val="hybridMultilevel"/>
    <w:tmpl w:val="67189B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46EBC"/>
    <w:multiLevelType w:val="hybridMultilevel"/>
    <w:tmpl w:val="D73C94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432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22764F"/>
    <w:multiLevelType w:val="hybridMultilevel"/>
    <w:tmpl w:val="2BCC93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463181">
    <w:abstractNumId w:val="2"/>
  </w:num>
  <w:num w:numId="2" w16cid:durableId="1275404407">
    <w:abstractNumId w:val="8"/>
  </w:num>
  <w:num w:numId="3" w16cid:durableId="2135975658">
    <w:abstractNumId w:val="3"/>
  </w:num>
  <w:num w:numId="4" w16cid:durableId="1791587121">
    <w:abstractNumId w:val="12"/>
  </w:num>
  <w:num w:numId="5" w16cid:durableId="850804917">
    <w:abstractNumId w:val="1"/>
  </w:num>
  <w:num w:numId="6" w16cid:durableId="361053757">
    <w:abstractNumId w:val="4"/>
  </w:num>
  <w:num w:numId="7" w16cid:durableId="166756160">
    <w:abstractNumId w:val="11"/>
  </w:num>
  <w:num w:numId="8" w16cid:durableId="1285766058">
    <w:abstractNumId w:val="7"/>
  </w:num>
  <w:num w:numId="9" w16cid:durableId="1947106749">
    <w:abstractNumId w:val="5"/>
  </w:num>
  <w:num w:numId="10" w16cid:durableId="1800222991">
    <w:abstractNumId w:val="9"/>
  </w:num>
  <w:num w:numId="11" w16cid:durableId="214314898">
    <w:abstractNumId w:val="0"/>
  </w:num>
  <w:num w:numId="12" w16cid:durableId="113446305">
    <w:abstractNumId w:val="6"/>
  </w:num>
  <w:num w:numId="13" w16cid:durableId="1411656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CE"/>
    <w:rsid w:val="00000BD0"/>
    <w:rsid w:val="00003322"/>
    <w:rsid w:val="00011004"/>
    <w:rsid w:val="000223C4"/>
    <w:rsid w:val="000238B0"/>
    <w:rsid w:val="00033BFC"/>
    <w:rsid w:val="00043289"/>
    <w:rsid w:val="00056381"/>
    <w:rsid w:val="00062DA1"/>
    <w:rsid w:val="0007225D"/>
    <w:rsid w:val="0009100D"/>
    <w:rsid w:val="00097843"/>
    <w:rsid w:val="000A146F"/>
    <w:rsid w:val="000A45B8"/>
    <w:rsid w:val="000B377C"/>
    <w:rsid w:val="000B411A"/>
    <w:rsid w:val="000C1203"/>
    <w:rsid w:val="000D02EA"/>
    <w:rsid w:val="000D6E9F"/>
    <w:rsid w:val="000F12FA"/>
    <w:rsid w:val="000F53C8"/>
    <w:rsid w:val="00106B03"/>
    <w:rsid w:val="001201D7"/>
    <w:rsid w:val="001253D8"/>
    <w:rsid w:val="001265FA"/>
    <w:rsid w:val="00133847"/>
    <w:rsid w:val="001412FE"/>
    <w:rsid w:val="001527E4"/>
    <w:rsid w:val="00154F9E"/>
    <w:rsid w:val="001565B0"/>
    <w:rsid w:val="001605BF"/>
    <w:rsid w:val="001647F9"/>
    <w:rsid w:val="00176CC4"/>
    <w:rsid w:val="00182A0D"/>
    <w:rsid w:val="00186E9D"/>
    <w:rsid w:val="00187AF8"/>
    <w:rsid w:val="00187C8D"/>
    <w:rsid w:val="00193A6D"/>
    <w:rsid w:val="001A1DB1"/>
    <w:rsid w:val="001A2A2D"/>
    <w:rsid w:val="001A6270"/>
    <w:rsid w:val="001B109C"/>
    <w:rsid w:val="001B43DB"/>
    <w:rsid w:val="001C3899"/>
    <w:rsid w:val="001C7605"/>
    <w:rsid w:val="001D132A"/>
    <w:rsid w:val="00200D2F"/>
    <w:rsid w:val="002011F9"/>
    <w:rsid w:val="00206547"/>
    <w:rsid w:val="002147A2"/>
    <w:rsid w:val="002154C0"/>
    <w:rsid w:val="0021729E"/>
    <w:rsid w:val="00223C47"/>
    <w:rsid w:val="002253F6"/>
    <w:rsid w:val="00225DB8"/>
    <w:rsid w:val="00233261"/>
    <w:rsid w:val="00236A5D"/>
    <w:rsid w:val="00254C74"/>
    <w:rsid w:val="00255467"/>
    <w:rsid w:val="002570DD"/>
    <w:rsid w:val="002577FE"/>
    <w:rsid w:val="002701D8"/>
    <w:rsid w:val="002800F5"/>
    <w:rsid w:val="00285E5D"/>
    <w:rsid w:val="00290164"/>
    <w:rsid w:val="00292EBB"/>
    <w:rsid w:val="0029783B"/>
    <w:rsid w:val="002B7E40"/>
    <w:rsid w:val="002E1984"/>
    <w:rsid w:val="002E5247"/>
    <w:rsid w:val="002E6685"/>
    <w:rsid w:val="002F7B77"/>
    <w:rsid w:val="0030207B"/>
    <w:rsid w:val="00305804"/>
    <w:rsid w:val="00340D37"/>
    <w:rsid w:val="00342B1E"/>
    <w:rsid w:val="00347F74"/>
    <w:rsid w:val="00351542"/>
    <w:rsid w:val="00360B12"/>
    <w:rsid w:val="00364E7A"/>
    <w:rsid w:val="00397816"/>
    <w:rsid w:val="003A5798"/>
    <w:rsid w:val="003A70FD"/>
    <w:rsid w:val="003B3E4F"/>
    <w:rsid w:val="003B5802"/>
    <w:rsid w:val="003B7903"/>
    <w:rsid w:val="003C2A06"/>
    <w:rsid w:val="003F3244"/>
    <w:rsid w:val="00403A47"/>
    <w:rsid w:val="00413A63"/>
    <w:rsid w:val="004155F5"/>
    <w:rsid w:val="0043009E"/>
    <w:rsid w:val="00447673"/>
    <w:rsid w:val="004717CF"/>
    <w:rsid w:val="0048595A"/>
    <w:rsid w:val="004905C4"/>
    <w:rsid w:val="00497767"/>
    <w:rsid w:val="004A39D2"/>
    <w:rsid w:val="004B6FF1"/>
    <w:rsid w:val="004C2866"/>
    <w:rsid w:val="004D2F00"/>
    <w:rsid w:val="004D6A8D"/>
    <w:rsid w:val="004D7FF3"/>
    <w:rsid w:val="004E43D6"/>
    <w:rsid w:val="004E5733"/>
    <w:rsid w:val="004F24C7"/>
    <w:rsid w:val="004F2DC3"/>
    <w:rsid w:val="004F2E5F"/>
    <w:rsid w:val="00510598"/>
    <w:rsid w:val="0052534E"/>
    <w:rsid w:val="00525F07"/>
    <w:rsid w:val="00534714"/>
    <w:rsid w:val="00537941"/>
    <w:rsid w:val="005436CA"/>
    <w:rsid w:val="0056193C"/>
    <w:rsid w:val="00561E49"/>
    <w:rsid w:val="00561FEC"/>
    <w:rsid w:val="00574DDE"/>
    <w:rsid w:val="00581C14"/>
    <w:rsid w:val="005874AC"/>
    <w:rsid w:val="005A25F4"/>
    <w:rsid w:val="005A4E2E"/>
    <w:rsid w:val="005A5C24"/>
    <w:rsid w:val="005B6C57"/>
    <w:rsid w:val="005C3C60"/>
    <w:rsid w:val="005C4AB9"/>
    <w:rsid w:val="005D381C"/>
    <w:rsid w:val="005D5979"/>
    <w:rsid w:val="005E2B96"/>
    <w:rsid w:val="005F6FFE"/>
    <w:rsid w:val="006055C9"/>
    <w:rsid w:val="00607383"/>
    <w:rsid w:val="00610CF6"/>
    <w:rsid w:val="00611C4C"/>
    <w:rsid w:val="00616837"/>
    <w:rsid w:val="0062394F"/>
    <w:rsid w:val="006343A0"/>
    <w:rsid w:val="006444B8"/>
    <w:rsid w:val="006450DF"/>
    <w:rsid w:val="0065615D"/>
    <w:rsid w:val="00656366"/>
    <w:rsid w:val="00666931"/>
    <w:rsid w:val="0066775C"/>
    <w:rsid w:val="00681183"/>
    <w:rsid w:val="006930D4"/>
    <w:rsid w:val="006B47F5"/>
    <w:rsid w:val="006B66E4"/>
    <w:rsid w:val="006C0513"/>
    <w:rsid w:val="006C0868"/>
    <w:rsid w:val="006C1F4D"/>
    <w:rsid w:val="006C1F9B"/>
    <w:rsid w:val="006E7194"/>
    <w:rsid w:val="007157FB"/>
    <w:rsid w:val="0071750A"/>
    <w:rsid w:val="0072655C"/>
    <w:rsid w:val="00727EE2"/>
    <w:rsid w:val="00732569"/>
    <w:rsid w:val="00743C02"/>
    <w:rsid w:val="007469C2"/>
    <w:rsid w:val="007525CD"/>
    <w:rsid w:val="00753F07"/>
    <w:rsid w:val="00763D32"/>
    <w:rsid w:val="00767FFD"/>
    <w:rsid w:val="007705A0"/>
    <w:rsid w:val="0077180E"/>
    <w:rsid w:val="00774A68"/>
    <w:rsid w:val="00777CDE"/>
    <w:rsid w:val="0078265C"/>
    <w:rsid w:val="00791723"/>
    <w:rsid w:val="00793B4C"/>
    <w:rsid w:val="0079534C"/>
    <w:rsid w:val="007A4DB8"/>
    <w:rsid w:val="007D0960"/>
    <w:rsid w:val="007D13EF"/>
    <w:rsid w:val="007D450C"/>
    <w:rsid w:val="007D5CD9"/>
    <w:rsid w:val="007E0DD5"/>
    <w:rsid w:val="007F0E9F"/>
    <w:rsid w:val="007F2365"/>
    <w:rsid w:val="00800F98"/>
    <w:rsid w:val="008049B6"/>
    <w:rsid w:val="00804F59"/>
    <w:rsid w:val="00810223"/>
    <w:rsid w:val="0082428C"/>
    <w:rsid w:val="00832C84"/>
    <w:rsid w:val="00832D25"/>
    <w:rsid w:val="00840346"/>
    <w:rsid w:val="00841FEC"/>
    <w:rsid w:val="0085384B"/>
    <w:rsid w:val="00854BB9"/>
    <w:rsid w:val="008608C3"/>
    <w:rsid w:val="008708C8"/>
    <w:rsid w:val="00875561"/>
    <w:rsid w:val="008867B1"/>
    <w:rsid w:val="008A3408"/>
    <w:rsid w:val="008A36C7"/>
    <w:rsid w:val="008A50EB"/>
    <w:rsid w:val="008B3D10"/>
    <w:rsid w:val="008C3778"/>
    <w:rsid w:val="008C5766"/>
    <w:rsid w:val="008D64CD"/>
    <w:rsid w:val="008E1E31"/>
    <w:rsid w:val="008E2BE8"/>
    <w:rsid w:val="00907E98"/>
    <w:rsid w:val="00931085"/>
    <w:rsid w:val="009312F0"/>
    <w:rsid w:val="00932502"/>
    <w:rsid w:val="00943AF0"/>
    <w:rsid w:val="0095017D"/>
    <w:rsid w:val="0096085C"/>
    <w:rsid w:val="00966599"/>
    <w:rsid w:val="0098710C"/>
    <w:rsid w:val="00987507"/>
    <w:rsid w:val="00990E28"/>
    <w:rsid w:val="00991D27"/>
    <w:rsid w:val="0099415C"/>
    <w:rsid w:val="00994812"/>
    <w:rsid w:val="009A308B"/>
    <w:rsid w:val="009B4732"/>
    <w:rsid w:val="009B61C8"/>
    <w:rsid w:val="009C0161"/>
    <w:rsid w:val="009D51D3"/>
    <w:rsid w:val="009D66B2"/>
    <w:rsid w:val="009D7C38"/>
    <w:rsid w:val="009E3379"/>
    <w:rsid w:val="009F0B25"/>
    <w:rsid w:val="009F0BED"/>
    <w:rsid w:val="009F5EF5"/>
    <w:rsid w:val="00A06417"/>
    <w:rsid w:val="00A13693"/>
    <w:rsid w:val="00A23833"/>
    <w:rsid w:val="00A2722B"/>
    <w:rsid w:val="00A36EC0"/>
    <w:rsid w:val="00A449DE"/>
    <w:rsid w:val="00A61A4F"/>
    <w:rsid w:val="00A710DB"/>
    <w:rsid w:val="00A73321"/>
    <w:rsid w:val="00A73C84"/>
    <w:rsid w:val="00A755B6"/>
    <w:rsid w:val="00A80E52"/>
    <w:rsid w:val="00A86CB6"/>
    <w:rsid w:val="00AB25AB"/>
    <w:rsid w:val="00AB420C"/>
    <w:rsid w:val="00AD131B"/>
    <w:rsid w:val="00AD6A37"/>
    <w:rsid w:val="00AE17A6"/>
    <w:rsid w:val="00AE3D86"/>
    <w:rsid w:val="00AF250A"/>
    <w:rsid w:val="00AF30EA"/>
    <w:rsid w:val="00AF5B4F"/>
    <w:rsid w:val="00B03B35"/>
    <w:rsid w:val="00B06E60"/>
    <w:rsid w:val="00B11E42"/>
    <w:rsid w:val="00B15555"/>
    <w:rsid w:val="00B22DFA"/>
    <w:rsid w:val="00B25467"/>
    <w:rsid w:val="00B36564"/>
    <w:rsid w:val="00B4025A"/>
    <w:rsid w:val="00B41C08"/>
    <w:rsid w:val="00B56AFD"/>
    <w:rsid w:val="00B657BA"/>
    <w:rsid w:val="00B70FC9"/>
    <w:rsid w:val="00B73597"/>
    <w:rsid w:val="00B85D22"/>
    <w:rsid w:val="00B85D54"/>
    <w:rsid w:val="00B96B34"/>
    <w:rsid w:val="00BA255C"/>
    <w:rsid w:val="00BB3E7C"/>
    <w:rsid w:val="00BB4225"/>
    <w:rsid w:val="00BC6035"/>
    <w:rsid w:val="00BD151F"/>
    <w:rsid w:val="00BE52A7"/>
    <w:rsid w:val="00BE5BC1"/>
    <w:rsid w:val="00C05F79"/>
    <w:rsid w:val="00C135D4"/>
    <w:rsid w:val="00C2363A"/>
    <w:rsid w:val="00C518D0"/>
    <w:rsid w:val="00C542C5"/>
    <w:rsid w:val="00C56F3B"/>
    <w:rsid w:val="00C64167"/>
    <w:rsid w:val="00C70E22"/>
    <w:rsid w:val="00C768B4"/>
    <w:rsid w:val="00C90C10"/>
    <w:rsid w:val="00C93F21"/>
    <w:rsid w:val="00C966D9"/>
    <w:rsid w:val="00CA048D"/>
    <w:rsid w:val="00CC02D5"/>
    <w:rsid w:val="00CD3FBA"/>
    <w:rsid w:val="00CD5F75"/>
    <w:rsid w:val="00CE15BE"/>
    <w:rsid w:val="00CE3F7B"/>
    <w:rsid w:val="00CE555C"/>
    <w:rsid w:val="00CF3F03"/>
    <w:rsid w:val="00D029BD"/>
    <w:rsid w:val="00D10FFF"/>
    <w:rsid w:val="00D151EA"/>
    <w:rsid w:val="00D3447B"/>
    <w:rsid w:val="00D52F76"/>
    <w:rsid w:val="00D56812"/>
    <w:rsid w:val="00D56B23"/>
    <w:rsid w:val="00D60C07"/>
    <w:rsid w:val="00D70A6E"/>
    <w:rsid w:val="00D720F9"/>
    <w:rsid w:val="00D778CE"/>
    <w:rsid w:val="00D81232"/>
    <w:rsid w:val="00D91038"/>
    <w:rsid w:val="00D962BE"/>
    <w:rsid w:val="00D976A4"/>
    <w:rsid w:val="00DB0B40"/>
    <w:rsid w:val="00DB1BE1"/>
    <w:rsid w:val="00DC2DEE"/>
    <w:rsid w:val="00DD1259"/>
    <w:rsid w:val="00DE4EDB"/>
    <w:rsid w:val="00DF020E"/>
    <w:rsid w:val="00DF5B03"/>
    <w:rsid w:val="00E074CF"/>
    <w:rsid w:val="00E138F7"/>
    <w:rsid w:val="00E20C3E"/>
    <w:rsid w:val="00E24BFB"/>
    <w:rsid w:val="00E4338B"/>
    <w:rsid w:val="00E5075E"/>
    <w:rsid w:val="00E535A8"/>
    <w:rsid w:val="00E5527F"/>
    <w:rsid w:val="00E7410A"/>
    <w:rsid w:val="00E75FAC"/>
    <w:rsid w:val="00E8077D"/>
    <w:rsid w:val="00E90483"/>
    <w:rsid w:val="00EA2679"/>
    <w:rsid w:val="00EA36A5"/>
    <w:rsid w:val="00EB7183"/>
    <w:rsid w:val="00EC24D6"/>
    <w:rsid w:val="00EC3671"/>
    <w:rsid w:val="00EC6DAC"/>
    <w:rsid w:val="00ED002E"/>
    <w:rsid w:val="00ED0F54"/>
    <w:rsid w:val="00ED5907"/>
    <w:rsid w:val="00EE42D0"/>
    <w:rsid w:val="00EE488E"/>
    <w:rsid w:val="00EE61A1"/>
    <w:rsid w:val="00EF5FAB"/>
    <w:rsid w:val="00EF60EA"/>
    <w:rsid w:val="00EF6D19"/>
    <w:rsid w:val="00EF7C32"/>
    <w:rsid w:val="00F1245B"/>
    <w:rsid w:val="00F2243D"/>
    <w:rsid w:val="00F42344"/>
    <w:rsid w:val="00F4268B"/>
    <w:rsid w:val="00F42892"/>
    <w:rsid w:val="00F56B5F"/>
    <w:rsid w:val="00F611D1"/>
    <w:rsid w:val="00F80CC9"/>
    <w:rsid w:val="00F8277D"/>
    <w:rsid w:val="00F92BDF"/>
    <w:rsid w:val="00FA08FA"/>
    <w:rsid w:val="00FA1DF4"/>
    <w:rsid w:val="00FC5038"/>
    <w:rsid w:val="00FD30E2"/>
    <w:rsid w:val="00FD64D8"/>
    <w:rsid w:val="00FE7928"/>
    <w:rsid w:val="00FF3164"/>
    <w:rsid w:val="00FF5485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F91D"/>
  <w15:docId w15:val="{5AB3FC3E-8649-4FE3-A199-4C8D8C7F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679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61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1729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74AC"/>
    <w:pPr>
      <w:ind w:left="720"/>
      <w:contextualSpacing/>
    </w:pPr>
  </w:style>
  <w:style w:type="character" w:styleId="Hyperlink">
    <w:name w:val="Hyperlink"/>
    <w:uiPriority w:val="99"/>
    <w:unhideWhenUsed/>
    <w:rsid w:val="00285E5D"/>
    <w:rPr>
      <w:color w:val="0000FF"/>
      <w:u w:val="single"/>
    </w:rPr>
  </w:style>
  <w:style w:type="character" w:styleId="Hervorhebung">
    <w:name w:val="Emphasis"/>
    <w:uiPriority w:val="20"/>
    <w:qFormat/>
    <w:rsid w:val="00254C74"/>
    <w:rPr>
      <w:b/>
      <w:bCs/>
      <w:i w:val="0"/>
      <w:iCs w:val="0"/>
    </w:rPr>
  </w:style>
  <w:style w:type="character" w:customStyle="1" w:styleId="berschrift3Zchn">
    <w:name w:val="Überschrift 3 Zchn"/>
    <w:link w:val="berschrift3"/>
    <w:uiPriority w:val="9"/>
    <w:rsid w:val="0021729E"/>
    <w:rPr>
      <w:rFonts w:ascii="Cambria" w:eastAsia="SimSun" w:hAnsi="Cambria" w:cs="Times New Roman"/>
      <w:b/>
      <w:bCs/>
      <w:color w:val="4F81B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56F3B"/>
    <w:rPr>
      <w:rFonts w:ascii="Tahoma" w:hAnsi="Tahoma" w:cs="Tahoma"/>
      <w:sz w:val="16"/>
      <w:szCs w:val="16"/>
    </w:rPr>
  </w:style>
  <w:style w:type="character" w:styleId="BesuchterLink">
    <w:name w:val="FollowedHyperlink"/>
    <w:uiPriority w:val="99"/>
    <w:semiHidden/>
    <w:unhideWhenUsed/>
    <w:rsid w:val="00ED5907"/>
    <w:rPr>
      <w:color w:val="800080"/>
      <w:u w:val="single"/>
    </w:rPr>
  </w:style>
  <w:style w:type="paragraph" w:styleId="berarbeitung">
    <w:name w:val="Revision"/>
    <w:hidden/>
    <w:uiPriority w:val="99"/>
    <w:semiHidden/>
    <w:rsid w:val="00364E7A"/>
    <w:rPr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65615D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193A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02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C02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C02D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02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02D5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488E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488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E488E"/>
  </w:style>
  <w:style w:type="character" w:styleId="Funotenzeichen">
    <w:name w:val="footnote reference"/>
    <w:basedOn w:val="Absatz-Standardschriftart"/>
    <w:uiPriority w:val="99"/>
    <w:semiHidden/>
    <w:unhideWhenUsed/>
    <w:rsid w:val="00EE4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84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07/s00103-025-04062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nk.springer.com/article/10.1007/s00103-013-1867-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envint.2022.10763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doi.org/10.1007/s00103-026-04205-x" TargetMode="External"/><Relationship Id="rId14" Type="http://schemas.openxmlformats.org/officeDocument/2006/relationships/hyperlink" Target="https://eur-lex.europa.eu/legal-content/EN/TXT/?uri=CELEX%3A02009R1223-2025090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34B4-92F5-4870-8703-EF2734A7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1576</Words>
  <Characters>9930</Characters>
  <Application>Microsoft Office Word</Application>
  <DocSecurity>0</DocSecurity>
  <Lines>82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Heinzow, Birger</dc:creator>
  <cp:lastModifiedBy>Apel, Petra</cp:lastModifiedBy>
  <cp:revision>8</cp:revision>
  <cp:lastPrinted>2025-10-26T22:34:00Z</cp:lastPrinted>
  <dcterms:created xsi:type="dcterms:W3CDTF">2026-04-07T09:51:00Z</dcterms:created>
  <dcterms:modified xsi:type="dcterms:W3CDTF">2026-06-22T07:06:00Z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5839c-a198-4d87-a0d2-c07b8aa32614_Enabled">
    <vt:lpwstr>true</vt:lpwstr>
  </property>
  <property fmtid="{D5CDD505-2E9C-101B-9397-08002B2CF9AE}" pid="3" name="MSIP_Label_7545839c-a198-4d87-a0d2-c07b8aa32614_SetDate">
    <vt:lpwstr>2026-02-13T13:23:26Z</vt:lpwstr>
  </property>
  <property fmtid="{D5CDD505-2E9C-101B-9397-08002B2CF9AE}" pid="4" name="MSIP_Label_7545839c-a198-4d87-a0d2-c07b8aa32614_Method">
    <vt:lpwstr>Standard</vt:lpwstr>
  </property>
  <property fmtid="{D5CDD505-2E9C-101B-9397-08002B2CF9AE}" pid="5" name="MSIP_Label_7545839c-a198-4d87-a0d2-c07b8aa32614_Name">
    <vt:lpwstr>Öffentlich</vt:lpwstr>
  </property>
  <property fmtid="{D5CDD505-2E9C-101B-9397-08002B2CF9AE}" pid="6" name="MSIP_Label_7545839c-a198-4d87-a0d2-c07b8aa32614_SiteId">
    <vt:lpwstr>f3987bed-0f17-4307-a6bb-a2ae861736b7</vt:lpwstr>
  </property>
  <property fmtid="{D5CDD505-2E9C-101B-9397-08002B2CF9AE}" pid="7" name="MSIP_Label_7545839c-a198-4d87-a0d2-c07b8aa32614_ActionId">
    <vt:lpwstr>47b2c8b8-060a-459c-847f-3b64eea39663</vt:lpwstr>
  </property>
  <property fmtid="{D5CDD505-2E9C-101B-9397-08002B2CF9AE}" pid="8" name="MSIP_Label_7545839c-a198-4d87-a0d2-c07b8aa32614_ContentBits">
    <vt:lpwstr>0</vt:lpwstr>
  </property>
  <property fmtid="{D5CDD505-2E9C-101B-9397-08002B2CF9AE}" pid="9" name="MSIP_Label_7545839c-a198-4d87-a0d2-c07b8aa32614_Tag">
    <vt:lpwstr>10, 3, 0, 1</vt:lpwstr>
  </property>
</Properties>
</file>